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34" w:rsidRDefault="00686634" w:rsidP="00A06694">
      <w:pPr>
        <w:spacing w:after="60"/>
        <w:rPr>
          <w:rFonts w:eastAsia="Times New Roman" w:cstheme="minorHAnsi"/>
          <w:b/>
          <w:snapToGrid w:val="0"/>
          <w:sz w:val="24"/>
          <w:szCs w:val="24"/>
          <w:lang w:val="en-US"/>
        </w:rPr>
      </w:pPr>
    </w:p>
    <w:p w:rsidR="00B768DA" w:rsidRPr="00BD3276" w:rsidRDefault="007C159A" w:rsidP="006A2DB8">
      <w:pPr>
        <w:spacing w:after="60"/>
        <w:jc w:val="center"/>
        <w:rPr>
          <w:rFonts w:cstheme="minorHAnsi"/>
          <w:b/>
          <w:sz w:val="24"/>
          <w:szCs w:val="24"/>
        </w:rPr>
      </w:pPr>
      <w:r w:rsidRPr="00BD3276">
        <w:rPr>
          <w:rFonts w:eastAsia="Times New Roman" w:cstheme="minorHAnsi"/>
          <w:b/>
          <w:snapToGrid w:val="0"/>
          <w:sz w:val="24"/>
          <w:szCs w:val="24"/>
        </w:rPr>
        <w:t>МИНИСТЕРСТВО НА ИКОНОМИКАТА</w:t>
      </w:r>
    </w:p>
    <w:p w:rsidR="007C159A" w:rsidRPr="00BD3276" w:rsidRDefault="007C159A" w:rsidP="004D2228">
      <w:pPr>
        <w:spacing w:after="120" w:line="240" w:lineRule="auto"/>
        <w:jc w:val="center"/>
        <w:rPr>
          <w:b/>
          <w:sz w:val="28"/>
          <w:szCs w:val="28"/>
        </w:rPr>
      </w:pPr>
    </w:p>
    <w:p w:rsidR="00FA0435" w:rsidRPr="00BD3276" w:rsidRDefault="00FA0435" w:rsidP="004D2228">
      <w:pPr>
        <w:spacing w:after="120" w:line="240" w:lineRule="auto"/>
        <w:jc w:val="center"/>
        <w:rPr>
          <w:b/>
          <w:sz w:val="26"/>
          <w:szCs w:val="26"/>
        </w:rPr>
      </w:pPr>
      <w:r w:rsidRPr="00BD3276">
        <w:rPr>
          <w:b/>
          <w:sz w:val="26"/>
          <w:szCs w:val="26"/>
        </w:rPr>
        <w:t>ОПЕРАТИВНА ПРОГРАМА „ИНОВАЦИИ И КОНКУРЕНТОСПОСОБНОСТ“ 2014-2020</w:t>
      </w:r>
    </w:p>
    <w:p w:rsidR="007C159A" w:rsidRPr="00BD3276" w:rsidRDefault="007C159A" w:rsidP="004D2228">
      <w:pPr>
        <w:spacing w:after="120" w:line="240" w:lineRule="auto"/>
        <w:jc w:val="center"/>
        <w:rPr>
          <w:b/>
          <w:sz w:val="28"/>
          <w:szCs w:val="28"/>
        </w:rPr>
      </w:pPr>
    </w:p>
    <w:p w:rsidR="004D2228" w:rsidRPr="00BD3276" w:rsidRDefault="007D7102" w:rsidP="004D2228">
      <w:pPr>
        <w:spacing w:after="120" w:line="240" w:lineRule="auto"/>
        <w:jc w:val="center"/>
        <w:rPr>
          <w:b/>
          <w:sz w:val="28"/>
          <w:szCs w:val="28"/>
        </w:rPr>
      </w:pPr>
      <w:r w:rsidRPr="00BD3276">
        <w:rPr>
          <w:b/>
          <w:sz w:val="28"/>
          <w:szCs w:val="28"/>
        </w:rPr>
        <w:t>НАСОКИ ЗА КАНДИДАТСТВАНЕ</w:t>
      </w:r>
    </w:p>
    <w:p w:rsidR="0092249A" w:rsidRPr="00BD3276" w:rsidRDefault="00F12B23" w:rsidP="006A2DB8">
      <w:pPr>
        <w:spacing w:after="240"/>
        <w:jc w:val="center"/>
        <w:rPr>
          <w:b/>
          <w:sz w:val="28"/>
          <w:szCs w:val="28"/>
        </w:rPr>
      </w:pPr>
      <w:r w:rsidRPr="00BD3276">
        <w:rPr>
          <w:b/>
          <w:sz w:val="28"/>
          <w:szCs w:val="28"/>
        </w:rPr>
        <w:t>по</w:t>
      </w:r>
      <w:r w:rsidR="00EE3028" w:rsidRPr="00BD3276">
        <w:rPr>
          <w:b/>
          <w:sz w:val="28"/>
          <w:szCs w:val="28"/>
        </w:rPr>
        <w:t xml:space="preserve"> процедура</w:t>
      </w:r>
      <w:r w:rsidR="006A2DB8" w:rsidRPr="00BD3276">
        <w:rPr>
          <w:b/>
          <w:sz w:val="28"/>
          <w:szCs w:val="28"/>
        </w:rPr>
        <w:t xml:space="preserve"> на подбор</w:t>
      </w:r>
      <w:r w:rsidR="004D2228" w:rsidRPr="00BD3276">
        <w:rPr>
          <w:b/>
          <w:sz w:val="28"/>
          <w:szCs w:val="28"/>
        </w:rPr>
        <w:t xml:space="preserve"> </w:t>
      </w:r>
      <w:r w:rsidR="007D7102" w:rsidRPr="00BD3276">
        <w:rPr>
          <w:b/>
          <w:sz w:val="28"/>
          <w:szCs w:val="28"/>
        </w:rPr>
        <w:t xml:space="preserve">на проекти </w:t>
      </w:r>
    </w:p>
    <w:p w:rsidR="00F759D6" w:rsidRPr="00BD3276" w:rsidRDefault="0054488B" w:rsidP="006A2DB8">
      <w:pPr>
        <w:spacing w:after="240"/>
        <w:jc w:val="center"/>
        <w:rPr>
          <w:b/>
          <w:sz w:val="28"/>
          <w:szCs w:val="28"/>
        </w:rPr>
      </w:pPr>
      <w:r>
        <w:rPr>
          <w:b/>
          <w:sz w:val="28"/>
          <w:szCs w:val="28"/>
        </w:rPr>
        <w:t xml:space="preserve">„Подкрепа за </w:t>
      </w:r>
      <w:r w:rsidR="00FE4826">
        <w:rPr>
          <w:b/>
          <w:sz w:val="28"/>
          <w:szCs w:val="28"/>
        </w:rPr>
        <w:t xml:space="preserve">внедряване на </w:t>
      </w:r>
      <w:r>
        <w:rPr>
          <w:b/>
          <w:sz w:val="28"/>
          <w:szCs w:val="28"/>
        </w:rPr>
        <w:t>иновации в предприятията</w:t>
      </w:r>
      <w:r w:rsidR="004340B3" w:rsidRPr="00BD3276">
        <w:rPr>
          <w:b/>
          <w:sz w:val="28"/>
          <w:szCs w:val="28"/>
        </w:rPr>
        <w:t>“</w:t>
      </w:r>
    </w:p>
    <w:p w:rsidR="007D7102" w:rsidRPr="00BD3276" w:rsidRDefault="007D7102" w:rsidP="006A2DB8">
      <w:pPr>
        <w:spacing w:after="240"/>
        <w:jc w:val="center"/>
        <w:rPr>
          <w:b/>
          <w:sz w:val="28"/>
          <w:szCs w:val="28"/>
        </w:rPr>
      </w:pPr>
    </w:p>
    <w:sdt>
      <w:sdtPr>
        <w:rPr>
          <w:rFonts w:asciiTheme="minorHAnsi" w:eastAsiaTheme="minorHAnsi" w:hAnsiTheme="minorHAnsi" w:cstheme="minorBidi"/>
          <w:b w:val="0"/>
          <w:bCs w:val="0"/>
          <w:color w:val="auto"/>
          <w:sz w:val="22"/>
          <w:szCs w:val="22"/>
          <w:lang w:eastAsia="en-US"/>
        </w:rPr>
        <w:id w:val="-1067806302"/>
        <w:docPartObj>
          <w:docPartGallery w:val="Table of Contents"/>
          <w:docPartUnique/>
        </w:docPartObj>
      </w:sdtPr>
      <w:sdtContent>
        <w:p w:rsidR="005C1072" w:rsidRPr="00BD3276" w:rsidRDefault="005C1072" w:rsidP="00B057AE">
          <w:pPr>
            <w:pStyle w:val="TOCHeading"/>
          </w:pPr>
          <w:r w:rsidRPr="00BD3276">
            <w:t>Съдържание</w:t>
          </w:r>
        </w:p>
        <w:p w:rsidR="007848BA" w:rsidRPr="007848BA" w:rsidRDefault="005C1072">
          <w:pPr>
            <w:pStyle w:val="TOC2"/>
            <w:tabs>
              <w:tab w:val="right" w:leader="dot" w:pos="9346"/>
            </w:tabs>
            <w:rPr>
              <w:rFonts w:eastAsiaTheme="minorEastAsia"/>
              <w:noProof/>
              <w:lang w:eastAsia="bg-BG"/>
            </w:rPr>
          </w:pPr>
          <w:r w:rsidRPr="00BD3276">
            <w:fldChar w:fldCharType="begin"/>
          </w:r>
          <w:r w:rsidRPr="00BD3276">
            <w:instrText xml:space="preserve"> TOC \o "1-3" \h \z \u </w:instrText>
          </w:r>
          <w:r w:rsidRPr="00BD3276">
            <w:fldChar w:fldCharType="separate"/>
          </w:r>
          <w:hyperlink w:anchor="_Toc418791431" w:history="1">
            <w:r w:rsidR="007848BA" w:rsidRPr="007848BA">
              <w:rPr>
                <w:rStyle w:val="Hyperlink"/>
                <w:noProof/>
              </w:rPr>
              <w:t>1. Наименование на програмата:</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_Toc418791431 \h </w:instrText>
            </w:r>
            <w:r w:rsidR="007848BA" w:rsidRPr="007848BA">
              <w:rPr>
                <w:noProof/>
                <w:webHidden/>
              </w:rPr>
            </w:r>
            <w:r w:rsidR="007848BA" w:rsidRPr="007848BA">
              <w:rPr>
                <w:noProof/>
                <w:webHidden/>
              </w:rPr>
              <w:fldChar w:fldCharType="separate"/>
            </w:r>
            <w:r w:rsidR="00840654">
              <w:rPr>
                <w:noProof/>
                <w:webHidden/>
              </w:rPr>
              <w:t>3</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2" w:history="1">
            <w:r w:rsidR="007848BA" w:rsidRPr="007848BA">
              <w:rPr>
                <w:rStyle w:val="Hyperlink"/>
                <w:noProof/>
              </w:rPr>
              <w:t>2. Наименование на приоритетната ос:</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_Toc418791432 \h </w:instrText>
            </w:r>
            <w:r w:rsidR="007848BA" w:rsidRPr="007848BA">
              <w:rPr>
                <w:noProof/>
                <w:webHidden/>
              </w:rPr>
            </w:r>
            <w:r w:rsidR="007848BA" w:rsidRPr="007848BA">
              <w:rPr>
                <w:noProof/>
                <w:webHidden/>
              </w:rPr>
              <w:fldChar w:fldCharType="separate"/>
            </w:r>
            <w:r w:rsidR="00840654">
              <w:rPr>
                <w:noProof/>
                <w:webHidden/>
              </w:rPr>
              <w:t>3</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3" w:history="1">
            <w:r w:rsidR="007848BA" w:rsidRPr="007848BA">
              <w:rPr>
                <w:rStyle w:val="Hyperlink"/>
                <w:noProof/>
              </w:rPr>
              <w:t>3. Наименование на процедурата:</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_Toc418791433 \h </w:instrText>
            </w:r>
            <w:r w:rsidR="007848BA" w:rsidRPr="007848BA">
              <w:rPr>
                <w:noProof/>
                <w:webHidden/>
              </w:rPr>
            </w:r>
            <w:r w:rsidR="007848BA" w:rsidRPr="007848BA">
              <w:rPr>
                <w:noProof/>
                <w:webHidden/>
              </w:rPr>
              <w:fldChar w:fldCharType="separate"/>
            </w:r>
            <w:r w:rsidR="00840654">
              <w:rPr>
                <w:noProof/>
                <w:webHidden/>
              </w:rPr>
              <w:t>3</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4" w:history="1">
            <w:r w:rsidR="007848BA" w:rsidRPr="007848BA">
              <w:rPr>
                <w:rStyle w:val="Hyperlink"/>
                <w:noProof/>
              </w:rPr>
              <w:t>4. Измерения по кодове:</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_Toc418791434 \h </w:instrText>
            </w:r>
            <w:r w:rsidR="007848BA" w:rsidRPr="007848BA">
              <w:rPr>
                <w:noProof/>
                <w:webHidden/>
              </w:rPr>
            </w:r>
            <w:r w:rsidR="007848BA" w:rsidRPr="007848BA">
              <w:rPr>
                <w:noProof/>
                <w:webHidden/>
              </w:rPr>
              <w:fldChar w:fldCharType="separate"/>
            </w:r>
            <w:r w:rsidR="00840654">
              <w:rPr>
                <w:noProof/>
                <w:webHidden/>
              </w:rPr>
              <w:t>3</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5" w:history="1">
            <w:r w:rsidR="007848BA" w:rsidRPr="007848BA">
              <w:rPr>
                <w:rStyle w:val="Hyperlink"/>
                <w:noProof/>
              </w:rPr>
              <w:t>5. Териториален обхват:</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_Toc418791435 \h </w:instrText>
            </w:r>
            <w:r w:rsidR="007848BA" w:rsidRPr="007848BA">
              <w:rPr>
                <w:noProof/>
                <w:webHidden/>
              </w:rPr>
            </w:r>
            <w:r w:rsidR="007848BA" w:rsidRPr="007848BA">
              <w:rPr>
                <w:noProof/>
                <w:webHidden/>
              </w:rPr>
              <w:fldChar w:fldCharType="separate"/>
            </w:r>
            <w:r w:rsidR="00840654">
              <w:rPr>
                <w:noProof/>
                <w:webHidden/>
              </w:rPr>
              <w:t>3</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6" w:history="1">
            <w:r w:rsidR="007848BA" w:rsidRPr="007848BA">
              <w:rPr>
                <w:rStyle w:val="Hyperlink"/>
                <w:noProof/>
              </w:rPr>
              <w:t xml:space="preserve">6. Цели на предоставяната </w:t>
            </w:r>
            <w:r w:rsidR="007848BA" w:rsidRPr="007848BA">
              <w:rPr>
                <w:rStyle w:val="Hyperlink"/>
                <w:rFonts w:ascii="Calibri" w:eastAsia="Calibri" w:hAnsi="Calibri" w:cs="Times New Roman"/>
                <w:noProof/>
              </w:rPr>
              <w:t>безвъзмездна финансова помощ</w:t>
            </w:r>
            <w:r w:rsidR="007848BA" w:rsidRPr="007848BA">
              <w:rPr>
                <w:rStyle w:val="Hyperlink"/>
                <w:noProof/>
              </w:rPr>
              <w:t xml:space="preserve"> по процедурата и очаквани резултати:</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_Toc418791436 \h </w:instrText>
            </w:r>
            <w:r w:rsidR="007848BA" w:rsidRPr="007848BA">
              <w:rPr>
                <w:noProof/>
                <w:webHidden/>
              </w:rPr>
            </w:r>
            <w:r w:rsidR="007848BA" w:rsidRPr="007848BA">
              <w:rPr>
                <w:noProof/>
                <w:webHidden/>
              </w:rPr>
              <w:fldChar w:fldCharType="separate"/>
            </w:r>
            <w:r w:rsidR="00840654">
              <w:rPr>
                <w:noProof/>
                <w:webHidden/>
              </w:rPr>
              <w:t>4</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37" w:history="1">
            <w:r w:rsidR="007848BA" w:rsidRPr="007848BA">
              <w:rPr>
                <w:rStyle w:val="Hyperlink"/>
                <w:rFonts w:eastAsia="Times New Roman" w:cstheme="minorHAnsi"/>
                <w:bCs/>
                <w:noProof/>
              </w:rPr>
              <w:t>7. Индикатори:</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_Toc418791437 \h </w:instrText>
            </w:r>
            <w:r w:rsidR="007848BA" w:rsidRPr="007848BA">
              <w:rPr>
                <w:noProof/>
                <w:webHidden/>
              </w:rPr>
            </w:r>
            <w:r w:rsidR="007848BA" w:rsidRPr="007848BA">
              <w:rPr>
                <w:noProof/>
                <w:webHidden/>
              </w:rPr>
              <w:fldChar w:fldCharType="separate"/>
            </w:r>
            <w:r w:rsidR="00840654">
              <w:rPr>
                <w:noProof/>
                <w:webHidden/>
              </w:rPr>
              <w:t>5</w:t>
            </w:r>
            <w:r w:rsidR="007848BA" w:rsidRPr="007848BA">
              <w:rPr>
                <w:noProof/>
                <w:webHidden/>
              </w:rPr>
              <w:fldChar w:fldCharType="end"/>
            </w:r>
          </w:hyperlink>
        </w:p>
        <w:p w:rsidR="007848BA" w:rsidRPr="007848BA" w:rsidRDefault="000271A2">
          <w:pPr>
            <w:pStyle w:val="TOC3"/>
            <w:tabs>
              <w:tab w:val="right" w:leader="dot" w:pos="9346"/>
            </w:tabs>
            <w:rPr>
              <w:rFonts w:eastAsiaTheme="minorEastAsia"/>
              <w:noProof/>
              <w:lang w:eastAsia="bg-BG"/>
            </w:rPr>
          </w:pPr>
          <w:hyperlink w:anchor="_Toc418791438" w:history="1">
            <w:r w:rsidR="007848BA" w:rsidRPr="007848BA">
              <w:rPr>
                <w:rStyle w:val="Hyperlink"/>
                <w:rFonts w:eastAsia="Times New Roman" w:cstheme="minorHAnsi"/>
                <w:bCs/>
                <w:noProof/>
              </w:rPr>
              <w:t>7.1.Индикатори за резултат и изпълнение съгласно оперативната програма</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_Toc418791438 \h </w:instrText>
            </w:r>
            <w:r w:rsidR="007848BA" w:rsidRPr="007848BA">
              <w:rPr>
                <w:noProof/>
                <w:webHidden/>
              </w:rPr>
            </w:r>
            <w:r w:rsidR="007848BA" w:rsidRPr="007848BA">
              <w:rPr>
                <w:noProof/>
                <w:webHidden/>
              </w:rPr>
              <w:fldChar w:fldCharType="separate"/>
            </w:r>
            <w:r w:rsidR="00840654">
              <w:rPr>
                <w:noProof/>
                <w:webHidden/>
              </w:rPr>
              <w:t>5</w:t>
            </w:r>
            <w:r w:rsidR="007848BA" w:rsidRPr="007848BA">
              <w:rPr>
                <w:noProof/>
                <w:webHidden/>
              </w:rPr>
              <w:fldChar w:fldCharType="end"/>
            </w:r>
          </w:hyperlink>
        </w:p>
        <w:p w:rsidR="007848BA" w:rsidRPr="007848BA" w:rsidRDefault="000271A2">
          <w:pPr>
            <w:pStyle w:val="TOC3"/>
            <w:tabs>
              <w:tab w:val="right" w:leader="dot" w:pos="9346"/>
            </w:tabs>
            <w:rPr>
              <w:rFonts w:eastAsiaTheme="minorEastAsia"/>
              <w:noProof/>
              <w:lang w:eastAsia="bg-BG"/>
            </w:rPr>
          </w:pPr>
          <w:hyperlink w:anchor="_Toc418791439" w:history="1">
            <w:r w:rsidR="007848BA" w:rsidRPr="007848BA">
              <w:rPr>
                <w:rStyle w:val="Hyperlink"/>
                <w:rFonts w:eastAsia="Times New Roman" w:cstheme="minorHAnsi"/>
                <w:bCs/>
                <w:noProof/>
              </w:rPr>
              <w:t>7.2. Индивидуални за процедурата и проектите индикатори за изпълнение</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_Toc418791439 \h </w:instrText>
            </w:r>
            <w:r w:rsidR="007848BA" w:rsidRPr="007848BA">
              <w:rPr>
                <w:noProof/>
                <w:webHidden/>
              </w:rPr>
            </w:r>
            <w:r w:rsidR="007848BA" w:rsidRPr="007848BA">
              <w:rPr>
                <w:noProof/>
                <w:webHidden/>
              </w:rPr>
              <w:fldChar w:fldCharType="separate"/>
            </w:r>
            <w:r w:rsidR="00840654">
              <w:rPr>
                <w:noProof/>
                <w:webHidden/>
              </w:rPr>
              <w:t>6</w:t>
            </w:r>
            <w:r w:rsidR="007848BA" w:rsidRPr="007848BA">
              <w:rPr>
                <w:noProof/>
                <w:webHidden/>
              </w:rPr>
              <w:fldChar w:fldCharType="end"/>
            </w:r>
          </w:hyperlink>
        </w:p>
        <w:p w:rsidR="007848BA" w:rsidRPr="007848BA" w:rsidRDefault="000271A2">
          <w:pPr>
            <w:pStyle w:val="TOC2"/>
            <w:tabs>
              <w:tab w:val="right" w:leader="dot" w:pos="9346"/>
            </w:tabs>
            <w:rPr>
              <w:rFonts w:eastAsiaTheme="minorEastAsia"/>
              <w:noProof/>
              <w:lang w:eastAsia="bg-BG"/>
            </w:rPr>
          </w:pPr>
          <w:hyperlink w:anchor="_Toc418791440" w:history="1">
            <w:r w:rsidR="007848BA" w:rsidRPr="007848BA">
              <w:rPr>
                <w:rStyle w:val="Hyperlink"/>
                <w:noProof/>
              </w:rPr>
              <w:t>8. Общ размер на безвъзмездната финансова помощ по процедурата:</w:t>
            </w:r>
            <w:r w:rsidR="007848BA" w:rsidRPr="007848BA">
              <w:rPr>
                <w:noProof/>
                <w:webHidden/>
              </w:rPr>
              <w:tab/>
            </w:r>
            <w:r w:rsidR="007848BA" w:rsidRPr="007848BA">
              <w:rPr>
                <w:noProof/>
                <w:webHidden/>
              </w:rPr>
              <w:fldChar w:fldCharType="begin"/>
            </w:r>
            <w:r w:rsidR="007848BA" w:rsidRPr="007848BA">
              <w:rPr>
                <w:noProof/>
                <w:webHidden/>
              </w:rPr>
              <w:instrText xml:space="preserve"> PAGEREF _Toc418791440 \h </w:instrText>
            </w:r>
            <w:r w:rsidR="007848BA" w:rsidRPr="007848BA">
              <w:rPr>
                <w:noProof/>
                <w:webHidden/>
              </w:rPr>
            </w:r>
            <w:r w:rsidR="007848BA" w:rsidRPr="007848BA">
              <w:rPr>
                <w:noProof/>
                <w:webHidden/>
              </w:rPr>
              <w:fldChar w:fldCharType="separate"/>
            </w:r>
            <w:r w:rsidR="00840654">
              <w:rPr>
                <w:noProof/>
                <w:webHidden/>
              </w:rPr>
              <w:t>7</w:t>
            </w:r>
            <w:r w:rsidR="007848BA" w:rsidRP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41" w:history="1">
            <w:r w:rsidR="007848BA" w:rsidRPr="00A06521">
              <w:rPr>
                <w:rStyle w:val="Hyperlink"/>
                <w:noProof/>
              </w:rPr>
              <w:t>9. Минимален и максимален размер на безвъзмездната финансова помощ за конкретен проект:</w:t>
            </w:r>
            <w:r w:rsidR="007848BA">
              <w:rPr>
                <w:noProof/>
                <w:webHidden/>
              </w:rPr>
              <w:tab/>
            </w:r>
            <w:r w:rsidR="007848BA">
              <w:rPr>
                <w:noProof/>
                <w:webHidden/>
              </w:rPr>
              <w:fldChar w:fldCharType="begin"/>
            </w:r>
            <w:r w:rsidR="007848BA">
              <w:rPr>
                <w:noProof/>
                <w:webHidden/>
              </w:rPr>
              <w:instrText xml:space="preserve"> PAGEREF _Toc418791441 \h </w:instrText>
            </w:r>
            <w:r w:rsidR="007848BA">
              <w:rPr>
                <w:noProof/>
                <w:webHidden/>
              </w:rPr>
            </w:r>
            <w:r w:rsidR="007848BA">
              <w:rPr>
                <w:noProof/>
                <w:webHidden/>
              </w:rPr>
              <w:fldChar w:fldCharType="separate"/>
            </w:r>
            <w:r w:rsidR="00840654">
              <w:rPr>
                <w:noProof/>
                <w:webHidden/>
              </w:rPr>
              <w:t>7</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42" w:history="1">
            <w:r w:rsidR="007848BA" w:rsidRPr="00A06521">
              <w:rPr>
                <w:rStyle w:val="Hyperlink"/>
                <w:noProof/>
              </w:rPr>
              <w:t>10. Процент на съфинансиране</w:t>
            </w:r>
            <w:r w:rsidR="007848BA">
              <w:rPr>
                <w:noProof/>
                <w:webHidden/>
              </w:rPr>
              <w:tab/>
            </w:r>
            <w:r w:rsidR="007848BA">
              <w:rPr>
                <w:noProof/>
                <w:webHidden/>
              </w:rPr>
              <w:fldChar w:fldCharType="begin"/>
            </w:r>
            <w:r w:rsidR="007848BA">
              <w:rPr>
                <w:noProof/>
                <w:webHidden/>
              </w:rPr>
              <w:instrText xml:space="preserve"> PAGEREF _Toc418791442 \h </w:instrText>
            </w:r>
            <w:r w:rsidR="007848BA">
              <w:rPr>
                <w:noProof/>
                <w:webHidden/>
              </w:rPr>
            </w:r>
            <w:r w:rsidR="007848BA">
              <w:rPr>
                <w:noProof/>
                <w:webHidden/>
              </w:rPr>
              <w:fldChar w:fldCharType="separate"/>
            </w:r>
            <w:r w:rsidR="00840654">
              <w:rPr>
                <w:noProof/>
                <w:webHidden/>
              </w:rPr>
              <w:t>11</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43" w:history="1">
            <w:r w:rsidR="007848BA" w:rsidRPr="00A06521">
              <w:rPr>
                <w:rStyle w:val="Hyperlink"/>
                <w:noProof/>
              </w:rPr>
              <w:t>11. Допустими кандидати:</w:t>
            </w:r>
            <w:r w:rsidR="007848BA">
              <w:rPr>
                <w:noProof/>
                <w:webHidden/>
              </w:rPr>
              <w:tab/>
            </w:r>
            <w:r w:rsidR="007848BA">
              <w:rPr>
                <w:noProof/>
                <w:webHidden/>
              </w:rPr>
              <w:fldChar w:fldCharType="begin"/>
            </w:r>
            <w:r w:rsidR="007848BA">
              <w:rPr>
                <w:noProof/>
                <w:webHidden/>
              </w:rPr>
              <w:instrText xml:space="preserve"> PAGEREF _Toc418791443 \h </w:instrText>
            </w:r>
            <w:r w:rsidR="007848BA">
              <w:rPr>
                <w:noProof/>
                <w:webHidden/>
              </w:rPr>
            </w:r>
            <w:r w:rsidR="007848BA">
              <w:rPr>
                <w:noProof/>
                <w:webHidden/>
              </w:rPr>
              <w:fldChar w:fldCharType="separate"/>
            </w:r>
            <w:r w:rsidR="00840654">
              <w:rPr>
                <w:noProof/>
                <w:webHidden/>
              </w:rPr>
              <w:t>13</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44" w:history="1">
            <w:r w:rsidR="007848BA" w:rsidRPr="00A06521">
              <w:rPr>
                <w:rStyle w:val="Hyperlink"/>
                <w:noProof/>
              </w:rPr>
              <w:t>11.1 Критерии за допустимост на кандидатите</w:t>
            </w:r>
            <w:r w:rsidR="007848BA">
              <w:rPr>
                <w:noProof/>
                <w:webHidden/>
              </w:rPr>
              <w:tab/>
            </w:r>
            <w:r w:rsidR="007848BA">
              <w:rPr>
                <w:noProof/>
                <w:webHidden/>
              </w:rPr>
              <w:fldChar w:fldCharType="begin"/>
            </w:r>
            <w:r w:rsidR="007848BA">
              <w:rPr>
                <w:noProof/>
                <w:webHidden/>
              </w:rPr>
              <w:instrText xml:space="preserve"> PAGEREF _Toc418791444 \h </w:instrText>
            </w:r>
            <w:r w:rsidR="007848BA">
              <w:rPr>
                <w:noProof/>
                <w:webHidden/>
              </w:rPr>
            </w:r>
            <w:r w:rsidR="007848BA">
              <w:rPr>
                <w:noProof/>
                <w:webHidden/>
              </w:rPr>
              <w:fldChar w:fldCharType="separate"/>
            </w:r>
            <w:r w:rsidR="00840654">
              <w:rPr>
                <w:noProof/>
                <w:webHidden/>
              </w:rPr>
              <w:t>13</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45" w:history="1">
            <w:r w:rsidR="007848BA" w:rsidRPr="00A06521">
              <w:rPr>
                <w:rStyle w:val="Hyperlink"/>
                <w:noProof/>
              </w:rPr>
              <w:t>11.2 Критерии за недопустимост на кандидатите</w:t>
            </w:r>
            <w:r w:rsidR="007848BA">
              <w:rPr>
                <w:noProof/>
                <w:webHidden/>
              </w:rPr>
              <w:tab/>
            </w:r>
            <w:r w:rsidR="007848BA">
              <w:rPr>
                <w:noProof/>
                <w:webHidden/>
              </w:rPr>
              <w:fldChar w:fldCharType="begin"/>
            </w:r>
            <w:r w:rsidR="007848BA">
              <w:rPr>
                <w:noProof/>
                <w:webHidden/>
              </w:rPr>
              <w:instrText xml:space="preserve"> PAGEREF _Toc418791445 \h </w:instrText>
            </w:r>
            <w:r w:rsidR="007848BA">
              <w:rPr>
                <w:noProof/>
                <w:webHidden/>
              </w:rPr>
            </w:r>
            <w:r w:rsidR="007848BA">
              <w:rPr>
                <w:noProof/>
                <w:webHidden/>
              </w:rPr>
              <w:fldChar w:fldCharType="separate"/>
            </w:r>
            <w:r w:rsidR="00840654">
              <w:rPr>
                <w:noProof/>
                <w:webHidden/>
              </w:rPr>
              <w:t>14</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46" w:history="1">
            <w:r w:rsidR="007848BA" w:rsidRPr="00A06521">
              <w:rPr>
                <w:rStyle w:val="Hyperlink"/>
                <w:noProof/>
              </w:rPr>
              <w:t>12. Допустими партньори:</w:t>
            </w:r>
            <w:r w:rsidR="007848BA">
              <w:rPr>
                <w:noProof/>
                <w:webHidden/>
              </w:rPr>
              <w:tab/>
            </w:r>
            <w:r w:rsidR="007848BA">
              <w:rPr>
                <w:noProof/>
                <w:webHidden/>
              </w:rPr>
              <w:fldChar w:fldCharType="begin"/>
            </w:r>
            <w:r w:rsidR="007848BA">
              <w:rPr>
                <w:noProof/>
                <w:webHidden/>
              </w:rPr>
              <w:instrText xml:space="preserve"> PAGEREF _Toc418791446 \h </w:instrText>
            </w:r>
            <w:r w:rsidR="007848BA">
              <w:rPr>
                <w:noProof/>
                <w:webHidden/>
              </w:rPr>
            </w:r>
            <w:r w:rsidR="007848BA">
              <w:rPr>
                <w:noProof/>
                <w:webHidden/>
              </w:rPr>
              <w:fldChar w:fldCharType="separate"/>
            </w:r>
            <w:r w:rsidR="00840654">
              <w:rPr>
                <w:noProof/>
                <w:webHidden/>
              </w:rPr>
              <w:t>19</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47" w:history="1">
            <w:r w:rsidR="007848BA" w:rsidRPr="00A06521">
              <w:rPr>
                <w:rStyle w:val="Hyperlink"/>
                <w:noProof/>
              </w:rPr>
              <w:t>13. Дейности, допустими за финансиране:</w:t>
            </w:r>
            <w:r w:rsidR="007848BA">
              <w:rPr>
                <w:noProof/>
                <w:webHidden/>
              </w:rPr>
              <w:tab/>
            </w:r>
            <w:r w:rsidR="007848BA">
              <w:rPr>
                <w:noProof/>
                <w:webHidden/>
              </w:rPr>
              <w:fldChar w:fldCharType="begin"/>
            </w:r>
            <w:r w:rsidR="007848BA">
              <w:rPr>
                <w:noProof/>
                <w:webHidden/>
              </w:rPr>
              <w:instrText xml:space="preserve"> PAGEREF _Toc418791447 \h </w:instrText>
            </w:r>
            <w:r w:rsidR="007848BA">
              <w:rPr>
                <w:noProof/>
                <w:webHidden/>
              </w:rPr>
            </w:r>
            <w:r w:rsidR="007848BA">
              <w:rPr>
                <w:noProof/>
                <w:webHidden/>
              </w:rPr>
              <w:fldChar w:fldCharType="separate"/>
            </w:r>
            <w:r w:rsidR="00840654">
              <w:rPr>
                <w:noProof/>
                <w:webHidden/>
              </w:rPr>
              <w:t>20</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48" w:history="1">
            <w:r w:rsidR="007848BA" w:rsidRPr="00A06521">
              <w:rPr>
                <w:rStyle w:val="Hyperlink"/>
                <w:noProof/>
              </w:rPr>
              <w:t>13.1. Допустими дейности</w:t>
            </w:r>
            <w:r w:rsidR="007848BA">
              <w:rPr>
                <w:noProof/>
                <w:webHidden/>
              </w:rPr>
              <w:tab/>
            </w:r>
            <w:r w:rsidR="007848BA">
              <w:rPr>
                <w:noProof/>
                <w:webHidden/>
              </w:rPr>
              <w:fldChar w:fldCharType="begin"/>
            </w:r>
            <w:r w:rsidR="007848BA">
              <w:rPr>
                <w:noProof/>
                <w:webHidden/>
              </w:rPr>
              <w:instrText xml:space="preserve"> PAGEREF _Toc418791448 \h </w:instrText>
            </w:r>
            <w:r w:rsidR="007848BA">
              <w:rPr>
                <w:noProof/>
                <w:webHidden/>
              </w:rPr>
            </w:r>
            <w:r w:rsidR="007848BA">
              <w:rPr>
                <w:noProof/>
                <w:webHidden/>
              </w:rPr>
              <w:fldChar w:fldCharType="separate"/>
            </w:r>
            <w:r w:rsidR="00840654">
              <w:rPr>
                <w:noProof/>
                <w:webHidden/>
              </w:rPr>
              <w:t>20</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49" w:history="1">
            <w:r w:rsidR="007848BA" w:rsidRPr="00A06521">
              <w:rPr>
                <w:rStyle w:val="Hyperlink"/>
                <w:noProof/>
              </w:rPr>
              <w:t>13.2. Недопустими дейности</w:t>
            </w:r>
            <w:r w:rsidR="007848BA">
              <w:rPr>
                <w:noProof/>
                <w:webHidden/>
              </w:rPr>
              <w:tab/>
            </w:r>
            <w:r w:rsidR="007848BA">
              <w:rPr>
                <w:noProof/>
                <w:webHidden/>
              </w:rPr>
              <w:fldChar w:fldCharType="begin"/>
            </w:r>
            <w:r w:rsidR="007848BA">
              <w:rPr>
                <w:noProof/>
                <w:webHidden/>
              </w:rPr>
              <w:instrText xml:space="preserve"> PAGEREF _Toc418791449 \h </w:instrText>
            </w:r>
            <w:r w:rsidR="007848BA">
              <w:rPr>
                <w:noProof/>
                <w:webHidden/>
              </w:rPr>
            </w:r>
            <w:r w:rsidR="007848BA">
              <w:rPr>
                <w:noProof/>
                <w:webHidden/>
              </w:rPr>
              <w:fldChar w:fldCharType="separate"/>
            </w:r>
            <w:r w:rsidR="00840654">
              <w:rPr>
                <w:noProof/>
                <w:webHidden/>
              </w:rPr>
              <w:t>29</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0" w:history="1">
            <w:r w:rsidR="007848BA" w:rsidRPr="00A06521">
              <w:rPr>
                <w:rStyle w:val="Hyperlink"/>
                <w:noProof/>
              </w:rPr>
              <w:t>14. Категории разходи, допустими за финансиране:</w:t>
            </w:r>
            <w:r w:rsidR="007848BA">
              <w:rPr>
                <w:noProof/>
                <w:webHidden/>
              </w:rPr>
              <w:tab/>
            </w:r>
            <w:r w:rsidR="007848BA">
              <w:rPr>
                <w:noProof/>
                <w:webHidden/>
              </w:rPr>
              <w:fldChar w:fldCharType="begin"/>
            </w:r>
            <w:r w:rsidR="007848BA">
              <w:rPr>
                <w:noProof/>
                <w:webHidden/>
              </w:rPr>
              <w:instrText xml:space="preserve"> PAGEREF _Toc418791450 \h </w:instrText>
            </w:r>
            <w:r w:rsidR="007848BA">
              <w:rPr>
                <w:noProof/>
                <w:webHidden/>
              </w:rPr>
            </w:r>
            <w:r w:rsidR="007848BA">
              <w:rPr>
                <w:noProof/>
                <w:webHidden/>
              </w:rPr>
              <w:fldChar w:fldCharType="separate"/>
            </w:r>
            <w:r w:rsidR="00840654">
              <w:rPr>
                <w:noProof/>
                <w:webHidden/>
              </w:rPr>
              <w:t>30</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51" w:history="1">
            <w:r w:rsidR="007848BA" w:rsidRPr="00A06521">
              <w:rPr>
                <w:rStyle w:val="Hyperlink"/>
                <w:noProof/>
              </w:rPr>
              <w:t>14.1. Условия за допустимост на разходите</w:t>
            </w:r>
            <w:r w:rsidR="007848BA">
              <w:rPr>
                <w:noProof/>
                <w:webHidden/>
              </w:rPr>
              <w:tab/>
            </w:r>
            <w:r w:rsidR="007848BA">
              <w:rPr>
                <w:noProof/>
                <w:webHidden/>
              </w:rPr>
              <w:fldChar w:fldCharType="begin"/>
            </w:r>
            <w:r w:rsidR="007848BA">
              <w:rPr>
                <w:noProof/>
                <w:webHidden/>
              </w:rPr>
              <w:instrText xml:space="preserve"> PAGEREF _Toc418791451 \h </w:instrText>
            </w:r>
            <w:r w:rsidR="007848BA">
              <w:rPr>
                <w:noProof/>
                <w:webHidden/>
              </w:rPr>
            </w:r>
            <w:r w:rsidR="007848BA">
              <w:rPr>
                <w:noProof/>
                <w:webHidden/>
              </w:rPr>
              <w:fldChar w:fldCharType="separate"/>
            </w:r>
            <w:r w:rsidR="00840654">
              <w:rPr>
                <w:noProof/>
                <w:webHidden/>
              </w:rPr>
              <w:t>31</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52" w:history="1">
            <w:r w:rsidR="007848BA" w:rsidRPr="00A06521">
              <w:rPr>
                <w:rStyle w:val="Hyperlink"/>
                <w:noProof/>
              </w:rPr>
              <w:t>14.2. Допустими разходи</w:t>
            </w:r>
            <w:r w:rsidR="007848BA">
              <w:rPr>
                <w:noProof/>
                <w:webHidden/>
              </w:rPr>
              <w:tab/>
            </w:r>
            <w:r w:rsidR="007848BA">
              <w:rPr>
                <w:noProof/>
                <w:webHidden/>
              </w:rPr>
              <w:fldChar w:fldCharType="begin"/>
            </w:r>
            <w:r w:rsidR="007848BA">
              <w:rPr>
                <w:noProof/>
                <w:webHidden/>
              </w:rPr>
              <w:instrText xml:space="preserve"> PAGEREF _Toc418791452 \h </w:instrText>
            </w:r>
            <w:r w:rsidR="007848BA">
              <w:rPr>
                <w:noProof/>
                <w:webHidden/>
              </w:rPr>
            </w:r>
            <w:r w:rsidR="007848BA">
              <w:rPr>
                <w:noProof/>
                <w:webHidden/>
              </w:rPr>
              <w:fldChar w:fldCharType="separate"/>
            </w:r>
            <w:r w:rsidR="00840654">
              <w:rPr>
                <w:noProof/>
                <w:webHidden/>
              </w:rPr>
              <w:t>32</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53" w:history="1">
            <w:r w:rsidR="007848BA" w:rsidRPr="00A06521">
              <w:rPr>
                <w:rStyle w:val="Hyperlink"/>
                <w:noProof/>
              </w:rPr>
              <w:t>14.3. Недопустими разходи</w:t>
            </w:r>
            <w:r w:rsidR="007848BA">
              <w:rPr>
                <w:noProof/>
                <w:webHidden/>
              </w:rPr>
              <w:tab/>
            </w:r>
            <w:r w:rsidR="007848BA">
              <w:rPr>
                <w:noProof/>
                <w:webHidden/>
              </w:rPr>
              <w:fldChar w:fldCharType="begin"/>
            </w:r>
            <w:r w:rsidR="007848BA">
              <w:rPr>
                <w:noProof/>
                <w:webHidden/>
              </w:rPr>
              <w:instrText xml:space="preserve"> PAGEREF _Toc418791453 \h </w:instrText>
            </w:r>
            <w:r w:rsidR="007848BA">
              <w:rPr>
                <w:noProof/>
                <w:webHidden/>
              </w:rPr>
            </w:r>
            <w:r w:rsidR="007848BA">
              <w:rPr>
                <w:noProof/>
                <w:webHidden/>
              </w:rPr>
              <w:fldChar w:fldCharType="separate"/>
            </w:r>
            <w:r w:rsidR="00840654">
              <w:rPr>
                <w:noProof/>
                <w:webHidden/>
              </w:rPr>
              <w:t>35</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4" w:history="1">
            <w:r w:rsidR="007848BA" w:rsidRPr="00A06521">
              <w:rPr>
                <w:rStyle w:val="Hyperlink"/>
                <w:noProof/>
              </w:rPr>
              <w:t>15. Допустими целеви групи:</w:t>
            </w:r>
            <w:r w:rsidR="007848BA">
              <w:rPr>
                <w:noProof/>
                <w:webHidden/>
              </w:rPr>
              <w:tab/>
            </w:r>
            <w:r w:rsidR="007848BA">
              <w:rPr>
                <w:noProof/>
                <w:webHidden/>
              </w:rPr>
              <w:fldChar w:fldCharType="begin"/>
            </w:r>
            <w:r w:rsidR="007848BA">
              <w:rPr>
                <w:noProof/>
                <w:webHidden/>
              </w:rPr>
              <w:instrText xml:space="preserve"> PAGEREF _Toc418791454 \h </w:instrText>
            </w:r>
            <w:r w:rsidR="007848BA">
              <w:rPr>
                <w:noProof/>
                <w:webHidden/>
              </w:rPr>
            </w:r>
            <w:r w:rsidR="007848BA">
              <w:rPr>
                <w:noProof/>
                <w:webHidden/>
              </w:rPr>
              <w:fldChar w:fldCharType="separate"/>
            </w:r>
            <w:r w:rsidR="00840654">
              <w:rPr>
                <w:noProof/>
                <w:webHidden/>
              </w:rPr>
              <w:t>36</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5" w:history="1">
            <w:r w:rsidR="007848BA" w:rsidRPr="00A06521">
              <w:rPr>
                <w:rStyle w:val="Hyperlink"/>
                <w:noProof/>
              </w:rPr>
              <w:t>16. Приложим режим на минимални/държавни помощи:</w:t>
            </w:r>
            <w:r w:rsidR="007848BA">
              <w:rPr>
                <w:noProof/>
                <w:webHidden/>
              </w:rPr>
              <w:tab/>
            </w:r>
            <w:r w:rsidR="007848BA">
              <w:rPr>
                <w:noProof/>
                <w:webHidden/>
              </w:rPr>
              <w:fldChar w:fldCharType="begin"/>
            </w:r>
            <w:r w:rsidR="007848BA">
              <w:rPr>
                <w:noProof/>
                <w:webHidden/>
              </w:rPr>
              <w:instrText xml:space="preserve"> PAGEREF _Toc418791455 \h </w:instrText>
            </w:r>
            <w:r w:rsidR="007848BA">
              <w:rPr>
                <w:noProof/>
                <w:webHidden/>
              </w:rPr>
            </w:r>
            <w:r w:rsidR="007848BA">
              <w:rPr>
                <w:noProof/>
                <w:webHidden/>
              </w:rPr>
              <w:fldChar w:fldCharType="separate"/>
            </w:r>
            <w:r w:rsidR="00840654">
              <w:rPr>
                <w:noProof/>
                <w:webHidden/>
              </w:rPr>
              <w:t>39</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6" w:history="1">
            <w:r w:rsidR="007848BA" w:rsidRPr="00A06521">
              <w:rPr>
                <w:rStyle w:val="Hyperlink"/>
                <w:noProof/>
              </w:rPr>
              <w:t>17. Хоризонтални политики:</w:t>
            </w:r>
            <w:r w:rsidR="007848BA">
              <w:rPr>
                <w:noProof/>
                <w:webHidden/>
              </w:rPr>
              <w:tab/>
            </w:r>
            <w:r w:rsidR="007848BA">
              <w:rPr>
                <w:noProof/>
                <w:webHidden/>
              </w:rPr>
              <w:fldChar w:fldCharType="begin"/>
            </w:r>
            <w:r w:rsidR="007848BA">
              <w:rPr>
                <w:noProof/>
                <w:webHidden/>
              </w:rPr>
              <w:instrText xml:space="preserve"> PAGEREF _Toc418791456 \h </w:instrText>
            </w:r>
            <w:r w:rsidR="007848BA">
              <w:rPr>
                <w:noProof/>
                <w:webHidden/>
              </w:rPr>
            </w:r>
            <w:r w:rsidR="007848BA">
              <w:rPr>
                <w:noProof/>
                <w:webHidden/>
              </w:rPr>
              <w:fldChar w:fldCharType="separate"/>
            </w:r>
            <w:r w:rsidR="00840654">
              <w:rPr>
                <w:noProof/>
                <w:webHidden/>
              </w:rPr>
              <w:t>42</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7" w:history="1">
            <w:r w:rsidR="007848BA" w:rsidRPr="00A06521">
              <w:rPr>
                <w:rStyle w:val="Hyperlink"/>
                <w:noProof/>
              </w:rPr>
              <w:t>18. Минимален и максимален срок за изпълнение на проекта:</w:t>
            </w:r>
            <w:r w:rsidR="007848BA">
              <w:rPr>
                <w:noProof/>
                <w:webHidden/>
              </w:rPr>
              <w:tab/>
            </w:r>
            <w:r w:rsidR="007848BA">
              <w:rPr>
                <w:noProof/>
                <w:webHidden/>
              </w:rPr>
              <w:fldChar w:fldCharType="begin"/>
            </w:r>
            <w:r w:rsidR="007848BA">
              <w:rPr>
                <w:noProof/>
                <w:webHidden/>
              </w:rPr>
              <w:instrText xml:space="preserve"> PAGEREF _Toc418791457 \h </w:instrText>
            </w:r>
            <w:r w:rsidR="007848BA">
              <w:rPr>
                <w:noProof/>
                <w:webHidden/>
              </w:rPr>
            </w:r>
            <w:r w:rsidR="007848BA">
              <w:rPr>
                <w:noProof/>
                <w:webHidden/>
              </w:rPr>
              <w:fldChar w:fldCharType="separate"/>
            </w:r>
            <w:r w:rsidR="00840654">
              <w:rPr>
                <w:noProof/>
                <w:webHidden/>
              </w:rPr>
              <w:t>42</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58" w:history="1">
            <w:r w:rsidR="007848BA" w:rsidRPr="00A06521">
              <w:rPr>
                <w:rStyle w:val="Hyperlink"/>
                <w:noProof/>
              </w:rPr>
              <w:t>19. Етапи и начин за оценяване на проектните предложения, вкл. провеждане на предварителен подбор на концепции за проектни предложения:</w:t>
            </w:r>
            <w:r w:rsidR="007848BA">
              <w:rPr>
                <w:noProof/>
                <w:webHidden/>
              </w:rPr>
              <w:tab/>
            </w:r>
            <w:r w:rsidR="007848BA">
              <w:rPr>
                <w:noProof/>
                <w:webHidden/>
              </w:rPr>
              <w:fldChar w:fldCharType="begin"/>
            </w:r>
            <w:r w:rsidR="007848BA">
              <w:rPr>
                <w:noProof/>
                <w:webHidden/>
              </w:rPr>
              <w:instrText xml:space="preserve"> PAGEREF _Toc418791458 \h </w:instrText>
            </w:r>
            <w:r w:rsidR="007848BA">
              <w:rPr>
                <w:noProof/>
                <w:webHidden/>
              </w:rPr>
            </w:r>
            <w:r w:rsidR="007848BA">
              <w:rPr>
                <w:noProof/>
                <w:webHidden/>
              </w:rPr>
              <w:fldChar w:fldCharType="separate"/>
            </w:r>
            <w:r w:rsidR="00840654">
              <w:rPr>
                <w:noProof/>
                <w:webHidden/>
              </w:rPr>
              <w:t>42</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59" w:history="1">
            <w:r w:rsidR="007848BA" w:rsidRPr="00A06521">
              <w:rPr>
                <w:rStyle w:val="Hyperlink"/>
                <w:noProof/>
              </w:rPr>
              <w:t>19.1. Оценка на  административното съответствие и допустимостта</w:t>
            </w:r>
            <w:r w:rsidR="007848BA">
              <w:rPr>
                <w:noProof/>
                <w:webHidden/>
              </w:rPr>
              <w:tab/>
            </w:r>
            <w:r w:rsidR="007848BA">
              <w:rPr>
                <w:noProof/>
                <w:webHidden/>
              </w:rPr>
              <w:fldChar w:fldCharType="begin"/>
            </w:r>
            <w:r w:rsidR="007848BA">
              <w:rPr>
                <w:noProof/>
                <w:webHidden/>
              </w:rPr>
              <w:instrText xml:space="preserve"> PAGEREF _Toc418791459 \h </w:instrText>
            </w:r>
            <w:r w:rsidR="007848BA">
              <w:rPr>
                <w:noProof/>
                <w:webHidden/>
              </w:rPr>
            </w:r>
            <w:r w:rsidR="007848BA">
              <w:rPr>
                <w:noProof/>
                <w:webHidden/>
              </w:rPr>
              <w:fldChar w:fldCharType="separate"/>
            </w:r>
            <w:r w:rsidR="00840654">
              <w:rPr>
                <w:noProof/>
                <w:webHidden/>
              </w:rPr>
              <w:t>43</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60" w:history="1">
            <w:r w:rsidR="007848BA" w:rsidRPr="00A06521">
              <w:rPr>
                <w:rStyle w:val="Hyperlink"/>
                <w:noProof/>
              </w:rPr>
              <w:t>19.2. Техническа и финансова оценка</w:t>
            </w:r>
            <w:r w:rsidR="007848BA">
              <w:rPr>
                <w:noProof/>
                <w:webHidden/>
              </w:rPr>
              <w:tab/>
            </w:r>
            <w:r w:rsidR="007848BA">
              <w:rPr>
                <w:noProof/>
                <w:webHidden/>
              </w:rPr>
              <w:fldChar w:fldCharType="begin"/>
            </w:r>
            <w:r w:rsidR="007848BA">
              <w:rPr>
                <w:noProof/>
                <w:webHidden/>
              </w:rPr>
              <w:instrText xml:space="preserve"> PAGEREF _Toc418791460 \h </w:instrText>
            </w:r>
            <w:r w:rsidR="007848BA">
              <w:rPr>
                <w:noProof/>
                <w:webHidden/>
              </w:rPr>
            </w:r>
            <w:r w:rsidR="007848BA">
              <w:rPr>
                <w:noProof/>
                <w:webHidden/>
              </w:rPr>
              <w:fldChar w:fldCharType="separate"/>
            </w:r>
            <w:r w:rsidR="00840654">
              <w:rPr>
                <w:noProof/>
                <w:webHidden/>
              </w:rPr>
              <w:t>44</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1" w:history="1">
            <w:r w:rsidR="007848BA" w:rsidRPr="00A06521">
              <w:rPr>
                <w:rStyle w:val="Hyperlink"/>
                <w:noProof/>
              </w:rPr>
              <w:t>20. Критерии за оценка на концепциите за проектни предложения и относителната им тежест:</w:t>
            </w:r>
            <w:r w:rsidR="007848BA">
              <w:rPr>
                <w:noProof/>
                <w:webHidden/>
              </w:rPr>
              <w:tab/>
            </w:r>
            <w:r w:rsidR="007848BA">
              <w:rPr>
                <w:noProof/>
                <w:webHidden/>
              </w:rPr>
              <w:fldChar w:fldCharType="begin"/>
            </w:r>
            <w:r w:rsidR="007848BA">
              <w:rPr>
                <w:noProof/>
                <w:webHidden/>
              </w:rPr>
              <w:instrText xml:space="preserve"> PAGEREF _Toc418791461 \h </w:instrText>
            </w:r>
            <w:r w:rsidR="007848BA">
              <w:rPr>
                <w:noProof/>
                <w:webHidden/>
              </w:rPr>
            </w:r>
            <w:r w:rsidR="007848BA">
              <w:rPr>
                <w:noProof/>
                <w:webHidden/>
              </w:rPr>
              <w:fldChar w:fldCharType="separate"/>
            </w:r>
            <w:r w:rsidR="00840654">
              <w:rPr>
                <w:noProof/>
                <w:webHidden/>
              </w:rPr>
              <w:t>46</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2" w:history="1">
            <w:r w:rsidR="007848BA" w:rsidRPr="00A06521">
              <w:rPr>
                <w:rStyle w:val="Hyperlink"/>
                <w:noProof/>
              </w:rPr>
              <w:t>21. Критерии за оценка на проектните предложения и относителната им тежест:</w:t>
            </w:r>
            <w:r w:rsidR="007848BA">
              <w:rPr>
                <w:noProof/>
                <w:webHidden/>
              </w:rPr>
              <w:tab/>
            </w:r>
            <w:r w:rsidR="007848BA">
              <w:rPr>
                <w:noProof/>
                <w:webHidden/>
              </w:rPr>
              <w:fldChar w:fldCharType="begin"/>
            </w:r>
            <w:r w:rsidR="007848BA">
              <w:rPr>
                <w:noProof/>
                <w:webHidden/>
              </w:rPr>
              <w:instrText xml:space="preserve"> PAGEREF _Toc418791462 \h </w:instrText>
            </w:r>
            <w:r w:rsidR="007848BA">
              <w:rPr>
                <w:noProof/>
                <w:webHidden/>
              </w:rPr>
            </w:r>
            <w:r w:rsidR="007848BA">
              <w:rPr>
                <w:noProof/>
                <w:webHidden/>
              </w:rPr>
              <w:fldChar w:fldCharType="separate"/>
            </w:r>
            <w:r w:rsidR="00840654">
              <w:rPr>
                <w:noProof/>
                <w:webHidden/>
              </w:rPr>
              <w:t>46</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3" w:history="1">
            <w:r w:rsidR="007848BA" w:rsidRPr="00A06521">
              <w:rPr>
                <w:rStyle w:val="Hyperlink"/>
                <w:noProof/>
              </w:rPr>
              <w:t>22. Начин на подаване на проектните предложения/концепциите за проектни предложения:</w:t>
            </w:r>
            <w:r w:rsidR="007848BA">
              <w:rPr>
                <w:noProof/>
                <w:webHidden/>
              </w:rPr>
              <w:tab/>
            </w:r>
            <w:r w:rsidR="007848BA">
              <w:rPr>
                <w:noProof/>
                <w:webHidden/>
              </w:rPr>
              <w:fldChar w:fldCharType="begin"/>
            </w:r>
            <w:r w:rsidR="007848BA">
              <w:rPr>
                <w:noProof/>
                <w:webHidden/>
              </w:rPr>
              <w:instrText xml:space="preserve"> PAGEREF _Toc418791463 \h </w:instrText>
            </w:r>
            <w:r w:rsidR="007848BA">
              <w:rPr>
                <w:noProof/>
                <w:webHidden/>
              </w:rPr>
            </w:r>
            <w:r w:rsidR="007848BA">
              <w:rPr>
                <w:noProof/>
                <w:webHidden/>
              </w:rPr>
              <w:fldChar w:fldCharType="separate"/>
            </w:r>
            <w:r w:rsidR="00840654">
              <w:rPr>
                <w:noProof/>
                <w:webHidden/>
              </w:rPr>
              <w:t>49</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4" w:history="1">
            <w:r w:rsidR="007848BA" w:rsidRPr="00A06521">
              <w:rPr>
                <w:rStyle w:val="Hyperlink"/>
                <w:noProof/>
              </w:rPr>
              <w:t>23. Списък на документите, които се подават на етап кандидатстване:</w:t>
            </w:r>
            <w:r w:rsidR="007848BA">
              <w:rPr>
                <w:noProof/>
                <w:webHidden/>
              </w:rPr>
              <w:tab/>
            </w:r>
            <w:r w:rsidR="007848BA">
              <w:rPr>
                <w:noProof/>
                <w:webHidden/>
              </w:rPr>
              <w:fldChar w:fldCharType="begin"/>
            </w:r>
            <w:r w:rsidR="007848BA">
              <w:rPr>
                <w:noProof/>
                <w:webHidden/>
              </w:rPr>
              <w:instrText xml:space="preserve"> PAGEREF _Toc418791464 \h </w:instrText>
            </w:r>
            <w:r w:rsidR="007848BA">
              <w:rPr>
                <w:noProof/>
                <w:webHidden/>
              </w:rPr>
            </w:r>
            <w:r w:rsidR="007848BA">
              <w:rPr>
                <w:noProof/>
                <w:webHidden/>
              </w:rPr>
              <w:fldChar w:fldCharType="separate"/>
            </w:r>
            <w:r w:rsidR="00840654">
              <w:rPr>
                <w:noProof/>
                <w:webHidden/>
              </w:rPr>
              <w:t>50</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5" w:history="1">
            <w:r w:rsidR="007848BA" w:rsidRPr="00A06521">
              <w:rPr>
                <w:rStyle w:val="Hyperlink"/>
                <w:noProof/>
              </w:rPr>
              <w:t>24. Краен срок за подаване на проектните предложения:</w:t>
            </w:r>
            <w:r w:rsidR="007848BA">
              <w:rPr>
                <w:noProof/>
                <w:webHidden/>
              </w:rPr>
              <w:tab/>
            </w:r>
            <w:r w:rsidR="007848BA">
              <w:rPr>
                <w:noProof/>
                <w:webHidden/>
              </w:rPr>
              <w:fldChar w:fldCharType="begin"/>
            </w:r>
            <w:r w:rsidR="007848BA">
              <w:rPr>
                <w:noProof/>
                <w:webHidden/>
              </w:rPr>
              <w:instrText xml:space="preserve"> PAGEREF _Toc418791465 \h </w:instrText>
            </w:r>
            <w:r w:rsidR="007848BA">
              <w:rPr>
                <w:noProof/>
                <w:webHidden/>
              </w:rPr>
            </w:r>
            <w:r w:rsidR="007848BA">
              <w:rPr>
                <w:noProof/>
                <w:webHidden/>
              </w:rPr>
              <w:fldChar w:fldCharType="separate"/>
            </w:r>
            <w:r w:rsidR="00840654">
              <w:rPr>
                <w:noProof/>
                <w:webHidden/>
              </w:rPr>
              <w:t>60</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6" w:history="1">
            <w:r w:rsidR="007848BA" w:rsidRPr="00A06521">
              <w:rPr>
                <w:rStyle w:val="Hyperlink"/>
                <w:noProof/>
              </w:rPr>
              <w:t>25. Адрес за подаване на проектните предложения</w:t>
            </w:r>
            <w:r w:rsidR="007848BA">
              <w:rPr>
                <w:noProof/>
                <w:webHidden/>
              </w:rPr>
              <w:tab/>
            </w:r>
            <w:r w:rsidR="007848BA">
              <w:rPr>
                <w:noProof/>
                <w:webHidden/>
              </w:rPr>
              <w:fldChar w:fldCharType="begin"/>
            </w:r>
            <w:r w:rsidR="007848BA">
              <w:rPr>
                <w:noProof/>
                <w:webHidden/>
              </w:rPr>
              <w:instrText xml:space="preserve"> PAGEREF _Toc418791466 \h </w:instrText>
            </w:r>
            <w:r w:rsidR="007848BA">
              <w:rPr>
                <w:noProof/>
                <w:webHidden/>
              </w:rPr>
            </w:r>
            <w:r w:rsidR="007848BA">
              <w:rPr>
                <w:noProof/>
                <w:webHidden/>
              </w:rPr>
              <w:fldChar w:fldCharType="separate"/>
            </w:r>
            <w:r w:rsidR="00840654">
              <w:rPr>
                <w:noProof/>
                <w:webHidden/>
              </w:rPr>
              <w:t>61</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67" w:history="1">
            <w:r w:rsidR="007848BA" w:rsidRPr="00A06521">
              <w:rPr>
                <w:rStyle w:val="Hyperlink"/>
                <w:noProof/>
              </w:rPr>
              <w:t>26. Допълнителна информация:</w:t>
            </w:r>
            <w:r w:rsidR="007848BA">
              <w:rPr>
                <w:noProof/>
                <w:webHidden/>
              </w:rPr>
              <w:tab/>
            </w:r>
            <w:r w:rsidR="007848BA">
              <w:rPr>
                <w:noProof/>
                <w:webHidden/>
              </w:rPr>
              <w:fldChar w:fldCharType="begin"/>
            </w:r>
            <w:r w:rsidR="007848BA">
              <w:rPr>
                <w:noProof/>
                <w:webHidden/>
              </w:rPr>
              <w:instrText xml:space="preserve"> PAGEREF _Toc418791467 \h </w:instrText>
            </w:r>
            <w:r w:rsidR="007848BA">
              <w:rPr>
                <w:noProof/>
                <w:webHidden/>
              </w:rPr>
            </w:r>
            <w:r w:rsidR="007848BA">
              <w:rPr>
                <w:noProof/>
                <w:webHidden/>
              </w:rPr>
              <w:fldChar w:fldCharType="separate"/>
            </w:r>
            <w:r w:rsidR="00840654">
              <w:rPr>
                <w:noProof/>
                <w:webHidden/>
              </w:rPr>
              <w:t>61</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68" w:history="1">
            <w:r w:rsidR="007848BA" w:rsidRPr="00A06521">
              <w:rPr>
                <w:rStyle w:val="Hyperlink"/>
                <w:noProof/>
              </w:rPr>
              <w:t>26.1. Процедура за уведомяване на неуспелите и одобрените кандидати и сключване на договори за безвъзмездна финансова помощ</w:t>
            </w:r>
            <w:r w:rsidR="007848BA">
              <w:rPr>
                <w:noProof/>
                <w:webHidden/>
              </w:rPr>
              <w:tab/>
            </w:r>
            <w:r w:rsidR="007848BA">
              <w:rPr>
                <w:noProof/>
                <w:webHidden/>
              </w:rPr>
              <w:fldChar w:fldCharType="begin"/>
            </w:r>
            <w:r w:rsidR="007848BA">
              <w:rPr>
                <w:noProof/>
                <w:webHidden/>
              </w:rPr>
              <w:instrText xml:space="preserve"> PAGEREF _Toc418791468 \h </w:instrText>
            </w:r>
            <w:r w:rsidR="007848BA">
              <w:rPr>
                <w:noProof/>
                <w:webHidden/>
              </w:rPr>
            </w:r>
            <w:r w:rsidR="007848BA">
              <w:rPr>
                <w:noProof/>
                <w:webHidden/>
              </w:rPr>
              <w:fldChar w:fldCharType="separate"/>
            </w:r>
            <w:r w:rsidR="00840654">
              <w:rPr>
                <w:noProof/>
                <w:webHidden/>
              </w:rPr>
              <w:t>61</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69" w:history="1">
            <w:r w:rsidR="007848BA" w:rsidRPr="00A06521">
              <w:rPr>
                <w:rStyle w:val="Hyperlink"/>
                <w:noProof/>
              </w:rPr>
              <w:t>26.2. Техническо изпълнение на проектите</w:t>
            </w:r>
            <w:r w:rsidR="007848BA">
              <w:rPr>
                <w:noProof/>
                <w:webHidden/>
              </w:rPr>
              <w:tab/>
            </w:r>
            <w:r w:rsidR="007848BA">
              <w:rPr>
                <w:noProof/>
                <w:webHidden/>
              </w:rPr>
              <w:fldChar w:fldCharType="begin"/>
            </w:r>
            <w:r w:rsidR="007848BA">
              <w:rPr>
                <w:noProof/>
                <w:webHidden/>
              </w:rPr>
              <w:instrText xml:space="preserve"> PAGEREF _Toc418791469 \h </w:instrText>
            </w:r>
            <w:r w:rsidR="007848BA">
              <w:rPr>
                <w:noProof/>
                <w:webHidden/>
              </w:rPr>
            </w:r>
            <w:r w:rsidR="007848BA">
              <w:rPr>
                <w:noProof/>
                <w:webHidden/>
              </w:rPr>
              <w:fldChar w:fldCharType="separate"/>
            </w:r>
            <w:r w:rsidR="00840654">
              <w:rPr>
                <w:noProof/>
                <w:webHidden/>
              </w:rPr>
              <w:t>67</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70" w:history="1">
            <w:r w:rsidR="007848BA" w:rsidRPr="00A06521">
              <w:rPr>
                <w:rStyle w:val="Hyperlink"/>
                <w:noProof/>
              </w:rPr>
              <w:t>26.3. Финансово изпълнение на проектите и плащане</w:t>
            </w:r>
            <w:r w:rsidR="007848BA">
              <w:rPr>
                <w:noProof/>
                <w:webHidden/>
              </w:rPr>
              <w:tab/>
            </w:r>
            <w:r w:rsidR="007848BA">
              <w:rPr>
                <w:noProof/>
                <w:webHidden/>
              </w:rPr>
              <w:fldChar w:fldCharType="begin"/>
            </w:r>
            <w:r w:rsidR="007848BA">
              <w:rPr>
                <w:noProof/>
                <w:webHidden/>
              </w:rPr>
              <w:instrText xml:space="preserve"> PAGEREF _Toc418791470 \h </w:instrText>
            </w:r>
            <w:r w:rsidR="007848BA">
              <w:rPr>
                <w:noProof/>
                <w:webHidden/>
              </w:rPr>
            </w:r>
            <w:r w:rsidR="007848BA">
              <w:rPr>
                <w:noProof/>
                <w:webHidden/>
              </w:rPr>
              <w:fldChar w:fldCharType="separate"/>
            </w:r>
            <w:r w:rsidR="00840654">
              <w:rPr>
                <w:noProof/>
                <w:webHidden/>
              </w:rPr>
              <w:t>70</w:t>
            </w:r>
            <w:r w:rsidR="007848BA">
              <w:rPr>
                <w:noProof/>
                <w:webHidden/>
              </w:rPr>
              <w:fldChar w:fldCharType="end"/>
            </w:r>
          </w:hyperlink>
        </w:p>
        <w:p w:rsidR="007848BA" w:rsidRDefault="000271A2">
          <w:pPr>
            <w:pStyle w:val="TOC3"/>
            <w:tabs>
              <w:tab w:val="right" w:leader="dot" w:pos="9346"/>
            </w:tabs>
            <w:rPr>
              <w:rFonts w:eastAsiaTheme="minorEastAsia"/>
              <w:noProof/>
              <w:lang w:eastAsia="bg-BG"/>
            </w:rPr>
          </w:pPr>
          <w:hyperlink w:anchor="_Toc418791471" w:history="1">
            <w:r w:rsidR="007848BA" w:rsidRPr="00A06521">
              <w:rPr>
                <w:rStyle w:val="Hyperlink"/>
                <w:noProof/>
              </w:rPr>
              <w:t>26.4. Мерки за информиране и публичност</w:t>
            </w:r>
            <w:r w:rsidR="007848BA">
              <w:rPr>
                <w:noProof/>
                <w:webHidden/>
              </w:rPr>
              <w:tab/>
            </w:r>
            <w:r w:rsidR="007848BA">
              <w:rPr>
                <w:noProof/>
                <w:webHidden/>
              </w:rPr>
              <w:fldChar w:fldCharType="begin"/>
            </w:r>
            <w:r w:rsidR="007848BA">
              <w:rPr>
                <w:noProof/>
                <w:webHidden/>
              </w:rPr>
              <w:instrText xml:space="preserve"> PAGEREF _Toc418791471 \h </w:instrText>
            </w:r>
            <w:r w:rsidR="007848BA">
              <w:rPr>
                <w:noProof/>
                <w:webHidden/>
              </w:rPr>
            </w:r>
            <w:r w:rsidR="007848BA">
              <w:rPr>
                <w:noProof/>
                <w:webHidden/>
              </w:rPr>
              <w:fldChar w:fldCharType="separate"/>
            </w:r>
            <w:r w:rsidR="00840654">
              <w:rPr>
                <w:noProof/>
                <w:webHidden/>
              </w:rPr>
              <w:t>72</w:t>
            </w:r>
            <w:r w:rsidR="007848BA">
              <w:rPr>
                <w:noProof/>
                <w:webHidden/>
              </w:rPr>
              <w:fldChar w:fldCharType="end"/>
            </w:r>
          </w:hyperlink>
        </w:p>
        <w:p w:rsidR="007848BA" w:rsidRDefault="000271A2">
          <w:pPr>
            <w:pStyle w:val="TOC2"/>
            <w:tabs>
              <w:tab w:val="right" w:leader="dot" w:pos="9346"/>
            </w:tabs>
            <w:rPr>
              <w:rFonts w:eastAsiaTheme="minorEastAsia"/>
              <w:noProof/>
              <w:lang w:eastAsia="bg-BG"/>
            </w:rPr>
          </w:pPr>
          <w:hyperlink w:anchor="_Toc418791472" w:history="1">
            <w:r w:rsidR="007848BA" w:rsidRPr="00A06521">
              <w:rPr>
                <w:rStyle w:val="Hyperlink"/>
                <w:noProof/>
              </w:rPr>
              <w:t>27. Приложения към Насоките за кандидатстване:</w:t>
            </w:r>
            <w:r w:rsidR="007848BA">
              <w:rPr>
                <w:noProof/>
                <w:webHidden/>
              </w:rPr>
              <w:tab/>
            </w:r>
            <w:r w:rsidR="007848BA">
              <w:rPr>
                <w:noProof/>
                <w:webHidden/>
              </w:rPr>
              <w:fldChar w:fldCharType="begin"/>
            </w:r>
            <w:r w:rsidR="007848BA">
              <w:rPr>
                <w:noProof/>
                <w:webHidden/>
              </w:rPr>
              <w:instrText xml:space="preserve"> PAGEREF _Toc418791472 \h </w:instrText>
            </w:r>
            <w:r w:rsidR="007848BA">
              <w:rPr>
                <w:noProof/>
                <w:webHidden/>
              </w:rPr>
            </w:r>
            <w:r w:rsidR="007848BA">
              <w:rPr>
                <w:noProof/>
                <w:webHidden/>
              </w:rPr>
              <w:fldChar w:fldCharType="separate"/>
            </w:r>
            <w:r w:rsidR="00840654">
              <w:rPr>
                <w:noProof/>
                <w:webHidden/>
              </w:rPr>
              <w:t>74</w:t>
            </w:r>
            <w:r w:rsidR="007848BA">
              <w:rPr>
                <w:noProof/>
                <w:webHidden/>
              </w:rPr>
              <w:fldChar w:fldCharType="end"/>
            </w:r>
          </w:hyperlink>
        </w:p>
        <w:p w:rsidR="005C1072" w:rsidRPr="00BD3276" w:rsidRDefault="005C1072">
          <w:r w:rsidRPr="00BD3276">
            <w:rPr>
              <w:b/>
              <w:bCs/>
            </w:rPr>
            <w:fldChar w:fldCharType="end"/>
          </w:r>
        </w:p>
      </w:sdtContent>
    </w:sdt>
    <w:p w:rsidR="006C4D1A" w:rsidRPr="00BD3276" w:rsidRDefault="006C4D1A" w:rsidP="006A2DB8">
      <w:pPr>
        <w:spacing w:after="240"/>
        <w:jc w:val="center"/>
        <w:rPr>
          <w:b/>
          <w:sz w:val="28"/>
          <w:szCs w:val="28"/>
        </w:rPr>
      </w:pPr>
    </w:p>
    <w:p w:rsidR="006C4D1A" w:rsidRPr="00BD3276" w:rsidRDefault="006C4D1A" w:rsidP="006A2DB8">
      <w:pPr>
        <w:spacing w:after="240"/>
        <w:jc w:val="center"/>
        <w:rPr>
          <w:b/>
          <w:sz w:val="28"/>
          <w:szCs w:val="28"/>
        </w:rPr>
      </w:pPr>
    </w:p>
    <w:p w:rsidR="005C1072" w:rsidRPr="00686634" w:rsidRDefault="005C1072">
      <w:pPr>
        <w:rPr>
          <w:rFonts w:asciiTheme="majorHAnsi" w:eastAsiaTheme="majorEastAsia" w:hAnsiTheme="majorHAnsi" w:cstheme="majorBidi"/>
          <w:b/>
          <w:bCs/>
          <w:color w:val="5B9BD5" w:themeColor="accent1"/>
          <w:sz w:val="26"/>
          <w:szCs w:val="26"/>
          <w:lang w:val="en-US"/>
        </w:rPr>
      </w:pPr>
      <w:r w:rsidRPr="00BD3276">
        <w:br w:type="page"/>
      </w:r>
    </w:p>
    <w:p w:rsidR="007057A9" w:rsidRPr="00BD3276" w:rsidRDefault="002325A3" w:rsidP="005C1072">
      <w:pPr>
        <w:pStyle w:val="Heading2"/>
        <w:spacing w:before="120" w:after="120"/>
      </w:pPr>
      <w:bookmarkStart w:id="0" w:name="_Toc418791431"/>
      <w:r w:rsidRPr="00BD3276">
        <w:lastRenderedPageBreak/>
        <w:t xml:space="preserve">1. </w:t>
      </w:r>
      <w:r w:rsidR="007057A9" w:rsidRPr="00BD3276">
        <w:t>Наименование на програмата:</w:t>
      </w:r>
      <w:bookmarkEnd w:id="0"/>
    </w:p>
    <w:p w:rsidR="0010018A" w:rsidRPr="00BD3276" w:rsidRDefault="00615394"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Оперативна програма „Иновации и конкурентоспособност“ 2014-2020</w:t>
      </w:r>
    </w:p>
    <w:p w:rsidR="007057A9" w:rsidRPr="00BD3276" w:rsidRDefault="002325A3" w:rsidP="005C1072">
      <w:pPr>
        <w:pStyle w:val="Heading2"/>
        <w:spacing w:before="120" w:after="120"/>
      </w:pPr>
      <w:bookmarkStart w:id="1" w:name="_Toc418791432"/>
      <w:r w:rsidRPr="00BD3276">
        <w:t>2. Н</w:t>
      </w:r>
      <w:r w:rsidR="007057A9" w:rsidRPr="00BD3276">
        <w:t>аименование на приоритетната ос</w:t>
      </w:r>
      <w:r w:rsidRPr="00BD3276">
        <w:t>:</w:t>
      </w:r>
      <w:bookmarkEnd w:id="1"/>
    </w:p>
    <w:p w:rsidR="00782571" w:rsidRDefault="009F1626"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Cs/>
          <w:sz w:val="24"/>
          <w:szCs w:val="24"/>
        </w:rPr>
      </w:pPr>
      <w:r w:rsidRPr="009F1626">
        <w:rPr>
          <w:bCs/>
          <w:sz w:val="24"/>
          <w:szCs w:val="24"/>
        </w:rPr>
        <w:t>Приоритетна ос 1 „Т</w:t>
      </w:r>
      <w:r>
        <w:rPr>
          <w:bCs/>
          <w:sz w:val="24"/>
          <w:szCs w:val="24"/>
        </w:rPr>
        <w:t>ехнологично развитие и иновации</w:t>
      </w:r>
      <w:r w:rsidR="00814736" w:rsidRPr="00BD3276">
        <w:rPr>
          <w:bCs/>
          <w:sz w:val="24"/>
          <w:szCs w:val="24"/>
        </w:rPr>
        <w:t>“</w:t>
      </w:r>
      <w:r w:rsidR="00622A49" w:rsidRPr="00BD3276">
        <w:rPr>
          <w:bCs/>
          <w:sz w:val="24"/>
          <w:szCs w:val="24"/>
        </w:rPr>
        <w:t xml:space="preserve"> </w:t>
      </w:r>
    </w:p>
    <w:p w:rsidR="0010018A" w:rsidRPr="00BD3276" w:rsidRDefault="009F1626"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9F1626">
        <w:rPr>
          <w:bCs/>
          <w:sz w:val="24"/>
          <w:szCs w:val="24"/>
        </w:rPr>
        <w:t>Инвестиционен приоритет 1.1 „Технологично развитие и иновации”</w:t>
      </w:r>
    </w:p>
    <w:p w:rsidR="006A2DB8" w:rsidRPr="00BD3276" w:rsidRDefault="002325A3" w:rsidP="005C1072">
      <w:pPr>
        <w:pStyle w:val="Heading2"/>
        <w:spacing w:before="120" w:after="120"/>
      </w:pPr>
      <w:bookmarkStart w:id="2" w:name="_Toc418791433"/>
      <w:r w:rsidRPr="00BD3276">
        <w:t xml:space="preserve">3. </w:t>
      </w:r>
      <w:r w:rsidR="007057A9" w:rsidRPr="00BD3276">
        <w:t>Наименование на процедурата</w:t>
      </w:r>
      <w:r w:rsidRPr="00BD3276">
        <w:t>:</w:t>
      </w:r>
      <w:bookmarkEnd w:id="2"/>
    </w:p>
    <w:p w:rsidR="0010018A" w:rsidRPr="00BD3276" w:rsidRDefault="009F1626"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w:t>
      </w:r>
      <w:r w:rsidR="00510197" w:rsidRPr="00510197">
        <w:rPr>
          <w:sz w:val="24"/>
          <w:szCs w:val="24"/>
        </w:rPr>
        <w:t xml:space="preserve">Подкрепа за </w:t>
      </w:r>
      <w:r w:rsidR="00C02E12">
        <w:rPr>
          <w:sz w:val="24"/>
          <w:szCs w:val="24"/>
        </w:rPr>
        <w:t xml:space="preserve">внедряване на </w:t>
      </w:r>
      <w:r w:rsidR="00510197" w:rsidRPr="00510197">
        <w:rPr>
          <w:sz w:val="24"/>
          <w:szCs w:val="24"/>
        </w:rPr>
        <w:t>иновации в предприятията</w:t>
      </w:r>
      <w:r>
        <w:rPr>
          <w:sz w:val="24"/>
          <w:szCs w:val="24"/>
        </w:rPr>
        <w:t>“</w:t>
      </w:r>
    </w:p>
    <w:p w:rsidR="00CB14EE" w:rsidRPr="00BD3276" w:rsidRDefault="00CB14EE" w:rsidP="005C1072">
      <w:pPr>
        <w:pStyle w:val="Heading2"/>
        <w:spacing w:before="120" w:after="120"/>
      </w:pPr>
      <w:bookmarkStart w:id="3" w:name="_Toc418791434"/>
      <w:r w:rsidRPr="00BD3276">
        <w:t>4. Измерения по кодове:</w:t>
      </w:r>
      <w:bookmarkEnd w:id="3"/>
    </w:p>
    <w:p w:rsidR="00093585" w:rsidRPr="00C8165B" w:rsidRDefault="00093585"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8165B">
        <w:rPr>
          <w:sz w:val="24"/>
          <w:szCs w:val="24"/>
        </w:rPr>
        <w:t>Измерение 1 – Област на интервенция:</w:t>
      </w:r>
    </w:p>
    <w:p w:rsidR="00CB14EE" w:rsidRPr="00C8165B" w:rsidRDefault="003E24D0"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8165B">
        <w:rPr>
          <w:sz w:val="24"/>
          <w:szCs w:val="24"/>
        </w:rPr>
        <w:t>056 Инвестиции в инфраструктура, капацитет и оборудване в МСП, пряко свързани с научноизследователски и иновационни дейности</w:t>
      </w:r>
      <w:r w:rsidR="004B32ED" w:rsidRPr="00C8165B">
        <w:rPr>
          <w:sz w:val="24"/>
          <w:szCs w:val="24"/>
        </w:rPr>
        <w:t>.</w:t>
      </w:r>
    </w:p>
    <w:p w:rsidR="003E24D0" w:rsidRPr="00C8165B" w:rsidRDefault="003E24D0"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8165B">
        <w:rPr>
          <w:sz w:val="24"/>
          <w:szCs w:val="24"/>
        </w:rPr>
        <w:t>057 Инвестиции в инфраструктура, капацитет и оборудване в големи дружества, пряко свързани с научноизследователски и иновационни дейности</w:t>
      </w:r>
    </w:p>
    <w:p w:rsidR="004B32ED" w:rsidRPr="00200CFB" w:rsidRDefault="004B32ED"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highlight w:val="yellow"/>
        </w:rPr>
      </w:pPr>
    </w:p>
    <w:p w:rsidR="009214C6" w:rsidRPr="00F241A2" w:rsidRDefault="009214C6"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Измерение 2 – Форма на финансиране:</w:t>
      </w:r>
    </w:p>
    <w:p w:rsidR="009214C6" w:rsidRPr="00F241A2" w:rsidRDefault="009214C6"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01 Безвъзмездни средства</w:t>
      </w:r>
      <w:r w:rsidR="004B32ED" w:rsidRPr="00F241A2">
        <w:rPr>
          <w:sz w:val="24"/>
          <w:szCs w:val="24"/>
        </w:rPr>
        <w:t>.</w:t>
      </w:r>
    </w:p>
    <w:p w:rsidR="004B32ED" w:rsidRPr="00F241A2" w:rsidRDefault="004B32ED"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214C6" w:rsidRPr="00F241A2" w:rsidRDefault="009214C6"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Измерение 3 – Вид територия</w:t>
      </w:r>
      <w:r w:rsidR="004B32ED" w:rsidRPr="00F241A2">
        <w:rPr>
          <w:sz w:val="24"/>
          <w:szCs w:val="24"/>
        </w:rPr>
        <w:t>:</w:t>
      </w:r>
    </w:p>
    <w:p w:rsidR="004B32ED" w:rsidRPr="00F241A2" w:rsidRDefault="004B32ED"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07 Не се прилага.</w:t>
      </w:r>
    </w:p>
    <w:p w:rsidR="004B32ED" w:rsidRPr="00F241A2" w:rsidRDefault="004B32ED"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4B32ED" w:rsidRPr="00F241A2" w:rsidRDefault="004B32ED" w:rsidP="004B32E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Измерение 4 – Териториални механизми за изпълнение:</w:t>
      </w:r>
    </w:p>
    <w:p w:rsidR="004B32ED" w:rsidRPr="00F241A2" w:rsidRDefault="004B32ED" w:rsidP="00CB14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07 Не се прилага.</w:t>
      </w:r>
    </w:p>
    <w:p w:rsidR="00A939F7" w:rsidRPr="00F241A2"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200CFB" w:rsidRPr="00F241A2" w:rsidRDefault="00200CFB"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 xml:space="preserve">Измерение 5 – Тематична цел </w:t>
      </w:r>
    </w:p>
    <w:p w:rsidR="00A939F7" w:rsidRPr="00F241A2" w:rsidRDefault="00200CFB"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01</w:t>
      </w:r>
      <w:r w:rsidR="00A939F7" w:rsidRPr="00F241A2">
        <w:rPr>
          <w:sz w:val="24"/>
          <w:szCs w:val="24"/>
        </w:rPr>
        <w:t xml:space="preserve"> </w:t>
      </w:r>
      <w:r w:rsidR="005D12BA" w:rsidRPr="005D12BA">
        <w:rPr>
          <w:sz w:val="24"/>
          <w:szCs w:val="24"/>
        </w:rPr>
        <w:t>Засилване на научноизследователската дейност, развойната дейност в областта на технологиите и иновациите</w:t>
      </w:r>
    </w:p>
    <w:p w:rsidR="00A939F7" w:rsidRPr="00F241A2"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A939F7" w:rsidRPr="00F241A2"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Измерение 6 Вторична тема по ЕСФ</w:t>
      </w:r>
    </w:p>
    <w:p w:rsidR="00A939F7" w:rsidRPr="00F241A2"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08 Не се прилага</w:t>
      </w:r>
    </w:p>
    <w:p w:rsidR="00A939F7" w:rsidRPr="00F241A2"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A939F7" w:rsidRPr="00BD3276" w:rsidRDefault="00A939F7" w:rsidP="00A939F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41A2">
        <w:rPr>
          <w:sz w:val="24"/>
          <w:szCs w:val="24"/>
        </w:rPr>
        <w:t>Измерение 7 Икономическа дейност</w:t>
      </w:r>
    </w:p>
    <w:p w:rsidR="004A58E5" w:rsidRPr="00BD3276" w:rsidRDefault="004A58E5" w:rsidP="00416190">
      <w:pPr>
        <w:pStyle w:val="ListParagraph"/>
        <w:spacing w:after="120" w:line="240" w:lineRule="auto"/>
        <w:ind w:left="0"/>
        <w:jc w:val="both"/>
        <w:rPr>
          <w:b/>
          <w:sz w:val="24"/>
          <w:szCs w:val="24"/>
        </w:rPr>
      </w:pPr>
      <w:r w:rsidRPr="00BD3276">
        <w:rPr>
          <w:b/>
          <w:sz w:val="24"/>
          <w:szCs w:val="24"/>
        </w:rPr>
        <w:t xml:space="preserve">   </w:t>
      </w:r>
    </w:p>
    <w:p w:rsidR="00090F19" w:rsidRPr="00BD3276" w:rsidRDefault="004A58E5" w:rsidP="00416190">
      <w:pPr>
        <w:pStyle w:val="Heading2"/>
        <w:spacing w:before="0" w:after="120"/>
      </w:pPr>
      <w:bookmarkStart w:id="4" w:name="_Toc418791435"/>
      <w:r w:rsidRPr="00BD3276">
        <w:t>5. Териториален обхват:</w:t>
      </w:r>
      <w:bookmarkEnd w:id="4"/>
    </w:p>
    <w:p w:rsidR="00090F19" w:rsidRPr="00BD3276" w:rsidRDefault="00E03956" w:rsidP="00F241A2">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sz w:val="24"/>
          <w:szCs w:val="24"/>
        </w:rPr>
      </w:pPr>
      <w:r w:rsidRPr="00BD3276">
        <w:rPr>
          <w:sz w:val="24"/>
          <w:szCs w:val="24"/>
        </w:rPr>
        <w:t>Проектите по процедурата следва да бъдат изпълнени на територията на Република България.</w:t>
      </w:r>
    </w:p>
    <w:p w:rsidR="00F241A2" w:rsidRDefault="00F241A2" w:rsidP="005C1072">
      <w:pPr>
        <w:pStyle w:val="Heading2"/>
        <w:spacing w:before="120" w:after="120"/>
      </w:pPr>
      <w:bookmarkStart w:id="5" w:name="_Toc418791436"/>
    </w:p>
    <w:p w:rsidR="00901F98" w:rsidRPr="00BD3276" w:rsidRDefault="004A58E5" w:rsidP="005C1072">
      <w:pPr>
        <w:pStyle w:val="Heading2"/>
        <w:spacing w:before="120" w:after="120"/>
      </w:pPr>
      <w:r w:rsidRPr="00BD3276">
        <w:t>6</w:t>
      </w:r>
      <w:r w:rsidR="002325A3" w:rsidRPr="00BD3276">
        <w:t>. Цели</w:t>
      </w:r>
      <w:r w:rsidR="00901F98" w:rsidRPr="00BD3276">
        <w:t xml:space="preserve"> </w:t>
      </w:r>
      <w:r w:rsidR="00FC0697" w:rsidRPr="00BD3276">
        <w:t xml:space="preserve">на предоставяната </w:t>
      </w:r>
      <w:r w:rsidR="00BA2E00" w:rsidRPr="00BD3276">
        <w:rPr>
          <w:rFonts w:ascii="Calibri" w:eastAsia="Calibri" w:hAnsi="Calibri" w:cs="Times New Roman"/>
        </w:rPr>
        <w:t>безвъзмездна финансова помощ</w:t>
      </w:r>
      <w:r w:rsidR="00FC0697" w:rsidRPr="00BD3276">
        <w:t xml:space="preserve"> по </w:t>
      </w:r>
      <w:r w:rsidR="00901F98" w:rsidRPr="00BD3276">
        <w:t>п</w:t>
      </w:r>
      <w:r w:rsidR="00FC0697" w:rsidRPr="00BD3276">
        <w:t>роцедура</w:t>
      </w:r>
      <w:r w:rsidR="00916B5A" w:rsidRPr="00BD3276">
        <w:t>та</w:t>
      </w:r>
      <w:r w:rsidR="00CB14EE" w:rsidRPr="00BD3276">
        <w:t xml:space="preserve"> и очаквани резултати</w:t>
      </w:r>
      <w:r w:rsidR="00EC3AF3" w:rsidRPr="00BD3276">
        <w:rPr>
          <w:rStyle w:val="FootnoteReference"/>
          <w:sz w:val="24"/>
          <w:szCs w:val="24"/>
        </w:rPr>
        <w:footnoteReference w:id="1"/>
      </w:r>
      <w:r w:rsidR="00916B5A" w:rsidRPr="00BD3276">
        <w:t>:</w:t>
      </w:r>
      <w:bookmarkEnd w:id="5"/>
    </w:p>
    <w:p w:rsidR="00EC000B" w:rsidRPr="00BD3276" w:rsidRDefault="00EC000B" w:rsidP="00EC000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D3276">
        <w:rPr>
          <w:b/>
          <w:sz w:val="24"/>
          <w:szCs w:val="24"/>
        </w:rPr>
        <w:t>Цел на процедурата:</w:t>
      </w:r>
    </w:p>
    <w:p w:rsidR="00823AEC" w:rsidRDefault="00D8114A" w:rsidP="003C61C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D8114A">
        <w:rPr>
          <w:sz w:val="24"/>
          <w:szCs w:val="24"/>
        </w:rPr>
        <w:t>Предоставяне на фокусирана подкрепа на българските предприятия за повишаване на иновационната дейност в тематичните области на ИСИС, като изпълнението на проектите, подкрепени по процедурата, следва да води до пазарна реализация на продукт</w:t>
      </w:r>
      <w:r w:rsidR="006D1E61">
        <w:rPr>
          <w:sz w:val="24"/>
          <w:szCs w:val="24"/>
          <w:lang w:val="en-US"/>
        </w:rPr>
        <w:t xml:space="preserve"> (</w:t>
      </w:r>
      <w:r w:rsidR="006D1E61">
        <w:rPr>
          <w:sz w:val="24"/>
          <w:szCs w:val="24"/>
        </w:rPr>
        <w:t>стока или услуга) или процес</w:t>
      </w:r>
      <w:r w:rsidRPr="00D8114A">
        <w:rPr>
          <w:sz w:val="24"/>
          <w:szCs w:val="24"/>
        </w:rPr>
        <w:t xml:space="preserve"> в приоритетните направления на тематичните области на ИСИС.</w:t>
      </w:r>
    </w:p>
    <w:p w:rsidR="00D8114A" w:rsidRPr="00BD3276" w:rsidRDefault="00D8114A" w:rsidP="003C61C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rsidR="00D66EDF" w:rsidRPr="00D66EDF" w:rsidRDefault="00D66EDF" w:rsidP="00D66EDF">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D66EDF">
        <w:rPr>
          <w:b/>
          <w:sz w:val="24"/>
          <w:szCs w:val="24"/>
        </w:rPr>
        <w:t>Обосновка:</w:t>
      </w:r>
    </w:p>
    <w:p w:rsidR="00D66EDF" w:rsidRPr="00D66EDF" w:rsidRDefault="00D66EDF" w:rsidP="00D66EDF">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D66EDF">
        <w:rPr>
          <w:sz w:val="24"/>
          <w:szCs w:val="24"/>
        </w:rPr>
        <w:t>Според класацията на Иновационния съюз от 2015 г. България попада в групата на страните „плахи иноватори“, чието представяне е с повече от 50% под средното ниво за ЕС-28 и заема предпоследно място по иновационно представяне сред ЕС-28. Най-сериозна причина за изоставането на България по отношение иновациите е делът на общите инвестиции в НИРД и иновации в сравнение с водещите световни икономики и другите държави-членки на ЕС.</w:t>
      </w:r>
    </w:p>
    <w:p w:rsidR="00D66EDF" w:rsidRPr="00D66EDF" w:rsidRDefault="00D66EDF"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D66EDF">
        <w:rPr>
          <w:sz w:val="24"/>
          <w:szCs w:val="24"/>
        </w:rPr>
        <w:t>Ниското ниво на иновационна активност на българските предприятия води до силна ценова конкуренция от страните с по-ниски производствени разходи и спад на пазарния дял на българския износ в редица водещ</w:t>
      </w:r>
      <w:r w:rsidR="00F241A2">
        <w:rPr>
          <w:sz w:val="24"/>
          <w:szCs w:val="24"/>
        </w:rPr>
        <w:t xml:space="preserve">и индустрии (лека промишленост, </w:t>
      </w:r>
      <w:r w:rsidRPr="00D66EDF">
        <w:rPr>
          <w:sz w:val="24"/>
          <w:szCs w:val="24"/>
        </w:rPr>
        <w:t xml:space="preserve">ХВП, фармацевтика, производство на желязо и стомана и др.). </w:t>
      </w:r>
    </w:p>
    <w:p w:rsidR="00D66EDF" w:rsidRPr="00D66EDF" w:rsidRDefault="00D66EDF"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D66EDF">
        <w:rPr>
          <w:sz w:val="24"/>
          <w:szCs w:val="24"/>
        </w:rPr>
        <w:t xml:space="preserve">Според Доклад Оценка за България, изготвен за ЕК, по-голяма част от българските фирми работят под технологичната граница, а техният растеж се основава на източници на подобрения в производителността, които не са свързани с НИРД и разпространение на знанията, нито с генериране на знания. </w:t>
      </w:r>
    </w:p>
    <w:p w:rsidR="00D66EDF" w:rsidRPr="00D66EDF" w:rsidRDefault="00D66EDF"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D66EDF">
        <w:rPr>
          <w:sz w:val="24"/>
          <w:szCs w:val="24"/>
        </w:rPr>
        <w:t>В резултат от това българската икономика все още не е навлязла в етапа на преход от ефикасна икономика към високо ниво на развитие, което я поставя в позицията на „догонваща” държава. Чрез подкрепата по ОПИК 2014-2020 се търсят възможности за ускоряването на прехода към икономика, базирана на знанието и в този смисъл стратегията на ОПИК 2014-2020 г. е насочена към увеличаване на инвестициите (публични и частни) в НИРД и иновации и принос за постигането на националната цел за дял от 1,5% на разходите за НИРД от БВП.</w:t>
      </w:r>
    </w:p>
    <w:p w:rsidR="00D66EDF" w:rsidRPr="00D66EDF" w:rsidRDefault="00D66EDF"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D66EDF">
        <w:rPr>
          <w:sz w:val="24"/>
          <w:szCs w:val="24"/>
        </w:rPr>
        <w:t xml:space="preserve">Иновационната стратегия за интелигентна специализация, която има характера на предварително условие за стартиране на мерките по Приоритетна ос 1 „Технологично развитие и иновации“ (Тематична цел 1 от ОСР) адресира необходимостта от синхронизиране на усилията в сферата на развитието на икономиката, научните изследвания и иновациите, и засилване на връзката между науката и бизнеса. Стратегическата цел на ИСИС е „До 2020 г. България да премине от групата на „плахите иноватори” в групата на „умерените иноватори”. Изпълнението на тази цел се свързва с провеждането на ефективна политика за растеж на базата на конкурентните предимства на индустрията и научните изследвания. ИСИС определя тематични области, като </w:t>
      </w:r>
      <w:r w:rsidRPr="00D66EDF">
        <w:rPr>
          <w:sz w:val="24"/>
          <w:szCs w:val="24"/>
        </w:rPr>
        <w:lastRenderedPageBreak/>
        <w:t>посредством регулярна комуникация с всички партньори и заинтересовани страни ще се гарантира непрекъснат процес на предприемаческо откритие. В тази връзка, по Приоритетна ос 1 на ОПИК (вкл. настоящата процедура) ще се подкрепят изключително дейности попадащи в специфичните тематичните области на ИСИС.</w:t>
      </w:r>
    </w:p>
    <w:p w:rsidR="00D66EDF" w:rsidRPr="00D66EDF" w:rsidRDefault="00D66EDF"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D66EDF">
        <w:rPr>
          <w:sz w:val="24"/>
          <w:szCs w:val="24"/>
        </w:rPr>
        <w:t xml:space="preserve">ИСИС определя следните </w:t>
      </w:r>
      <w:r w:rsidRPr="009728D5">
        <w:rPr>
          <w:b/>
          <w:sz w:val="24"/>
          <w:szCs w:val="24"/>
        </w:rPr>
        <w:t>четири тематични области</w:t>
      </w:r>
      <w:r w:rsidRPr="00D66EDF">
        <w:rPr>
          <w:sz w:val="24"/>
          <w:szCs w:val="24"/>
        </w:rPr>
        <w:t xml:space="preserve"> по Цел 1:</w:t>
      </w:r>
    </w:p>
    <w:p w:rsidR="00B6137C" w:rsidRDefault="00B6137C"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ИКТ и информатика; </w:t>
      </w:r>
    </w:p>
    <w:p w:rsidR="00D66EDF" w:rsidRPr="00D66EDF" w:rsidRDefault="009728D5"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w:t>
      </w:r>
      <w:r w:rsidR="00D66EDF" w:rsidRPr="00D66EDF">
        <w:rPr>
          <w:sz w:val="24"/>
          <w:szCs w:val="24"/>
        </w:rPr>
        <w:t xml:space="preserve">мехатроника и чисти технологии; </w:t>
      </w:r>
    </w:p>
    <w:p w:rsidR="00D66EDF" w:rsidRPr="00D66EDF" w:rsidRDefault="009728D5"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w:t>
      </w:r>
      <w:r w:rsidR="00D66EDF" w:rsidRPr="00D66EDF">
        <w:rPr>
          <w:sz w:val="24"/>
          <w:szCs w:val="24"/>
        </w:rPr>
        <w:t xml:space="preserve">индустрия за здравословен живот и биотехнологии; </w:t>
      </w:r>
    </w:p>
    <w:p w:rsidR="00D66EDF" w:rsidRPr="00D66EDF" w:rsidRDefault="009728D5" w:rsidP="00D66E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w:t>
      </w:r>
      <w:r w:rsidR="00D66EDF" w:rsidRPr="00D66EDF">
        <w:rPr>
          <w:sz w:val="24"/>
          <w:szCs w:val="24"/>
        </w:rPr>
        <w:t xml:space="preserve">нови технологии в креативните и рекреативните индустрии. </w:t>
      </w:r>
    </w:p>
    <w:p w:rsidR="003C61C4" w:rsidRPr="00BD3276" w:rsidRDefault="00D66EDF" w:rsidP="00D66EDF">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D66EDF">
        <w:rPr>
          <w:sz w:val="24"/>
          <w:szCs w:val="24"/>
        </w:rPr>
        <w:t>Фокусът на настоящата процедура е в пълно съответствие със специфичната цел на Приоритетна ос 1 на ОПИК за повишаване на иновационната дейност на предприятията.</w:t>
      </w:r>
    </w:p>
    <w:p w:rsidR="00D66EDF" w:rsidRDefault="00D66EDF" w:rsidP="0021271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rsidR="0021271E" w:rsidRPr="00BD3276" w:rsidRDefault="00ED0F81" w:rsidP="0021271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ED0F81">
        <w:rPr>
          <w:b/>
          <w:sz w:val="24"/>
          <w:szCs w:val="24"/>
        </w:rPr>
        <w:t>Очакваните резултати</w:t>
      </w:r>
      <w:r w:rsidRPr="00ED0F81">
        <w:rPr>
          <w:sz w:val="24"/>
          <w:szCs w:val="24"/>
        </w:rPr>
        <w:t xml:space="preserve"> от подкрепата по процедурата се изразяват в нарастване на дела на предприятията, които внедряват и разпространяват иновации, в р</w:t>
      </w:r>
      <w:r w:rsidR="005917B3">
        <w:rPr>
          <w:sz w:val="24"/>
          <w:szCs w:val="24"/>
        </w:rPr>
        <w:t xml:space="preserve">езултат на което ще се повиши </w:t>
      </w:r>
      <w:r w:rsidRPr="00ED0F81">
        <w:rPr>
          <w:sz w:val="24"/>
          <w:szCs w:val="24"/>
        </w:rPr>
        <w:t>иновационния им капацитет и конкурентоспособност</w:t>
      </w:r>
      <w:r w:rsidR="005917B3">
        <w:rPr>
          <w:sz w:val="24"/>
          <w:szCs w:val="24"/>
        </w:rPr>
        <w:t>.</w:t>
      </w:r>
    </w:p>
    <w:p w:rsidR="002325A3" w:rsidRPr="00BD3276" w:rsidRDefault="002325A3" w:rsidP="002325A3">
      <w:pPr>
        <w:pStyle w:val="ListParagraph"/>
        <w:spacing w:after="360" w:line="240" w:lineRule="auto"/>
        <w:ind w:left="0"/>
        <w:jc w:val="both"/>
        <w:rPr>
          <w:b/>
          <w:sz w:val="24"/>
          <w:szCs w:val="24"/>
        </w:rPr>
      </w:pPr>
    </w:p>
    <w:p w:rsidR="00776637" w:rsidRPr="005508FB" w:rsidRDefault="00776637" w:rsidP="00776637">
      <w:pPr>
        <w:keepNext/>
        <w:keepLines/>
        <w:spacing w:before="200" w:after="0"/>
        <w:outlineLvl w:val="1"/>
        <w:rPr>
          <w:rFonts w:eastAsia="Times New Roman" w:cstheme="minorHAnsi"/>
          <w:b/>
          <w:bCs/>
          <w:color w:val="4F81BD"/>
          <w:sz w:val="26"/>
          <w:szCs w:val="26"/>
        </w:rPr>
      </w:pPr>
      <w:bookmarkStart w:id="6" w:name="_Toc418791437"/>
      <w:r w:rsidRPr="005508FB">
        <w:rPr>
          <w:rFonts w:eastAsia="Times New Roman" w:cstheme="minorHAnsi"/>
          <w:b/>
          <w:bCs/>
          <w:color w:val="4F81BD"/>
          <w:sz w:val="26"/>
          <w:szCs w:val="26"/>
        </w:rPr>
        <w:t>7. Индикатори:</w:t>
      </w:r>
      <w:bookmarkEnd w:id="6"/>
    </w:p>
    <w:p w:rsidR="00776637" w:rsidRPr="005508FB" w:rsidRDefault="00776637" w:rsidP="00775965">
      <w:pPr>
        <w:keepNext/>
        <w:keepLines/>
        <w:spacing w:before="200" w:after="120"/>
        <w:outlineLvl w:val="2"/>
        <w:rPr>
          <w:rFonts w:eastAsia="Times New Roman" w:cstheme="minorHAnsi"/>
          <w:b/>
          <w:bCs/>
          <w:color w:val="4F81BD"/>
          <w:sz w:val="24"/>
          <w:szCs w:val="24"/>
        </w:rPr>
      </w:pPr>
      <w:bookmarkStart w:id="7" w:name="_Toc418791438"/>
      <w:r w:rsidRPr="005508FB">
        <w:rPr>
          <w:rFonts w:eastAsia="Times New Roman" w:cstheme="minorHAnsi"/>
          <w:b/>
          <w:bCs/>
          <w:color w:val="4F81BD"/>
          <w:sz w:val="24"/>
          <w:szCs w:val="24"/>
        </w:rPr>
        <w:t>7.1.Индикатори за резултат и изпълнение съгласно оперативната програма</w:t>
      </w:r>
      <w:bookmarkEnd w:id="7"/>
    </w:p>
    <w:p w:rsidR="00776637"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BD3276">
        <w:rPr>
          <w:rFonts w:ascii="Calibri" w:eastAsia="Calibri" w:hAnsi="Calibri" w:cs="Times New Roman"/>
          <w:sz w:val="24"/>
          <w:szCs w:val="24"/>
        </w:rPr>
        <w:t xml:space="preserve">В съответствие със специфичната </w:t>
      </w:r>
      <w:r w:rsidR="007C2F08">
        <w:rPr>
          <w:rFonts w:ascii="Calibri" w:eastAsia="Calibri" w:hAnsi="Calibri" w:cs="Times New Roman"/>
          <w:sz w:val="24"/>
          <w:szCs w:val="24"/>
        </w:rPr>
        <w:t xml:space="preserve">цел на Инвестиционен приоритет 1.1 „Технологично </w:t>
      </w:r>
      <w:r w:rsidR="00670B17">
        <w:rPr>
          <w:rFonts w:ascii="Calibri" w:eastAsia="Calibri" w:hAnsi="Calibri" w:cs="Times New Roman"/>
          <w:sz w:val="24"/>
          <w:szCs w:val="24"/>
        </w:rPr>
        <w:t>развитие и иновации</w:t>
      </w:r>
      <w:r w:rsidRPr="00BD3276">
        <w:rPr>
          <w:rFonts w:ascii="Calibri" w:eastAsia="Calibri" w:hAnsi="Calibri" w:cs="Times New Roman"/>
          <w:sz w:val="24"/>
          <w:szCs w:val="24"/>
        </w:rPr>
        <w:t xml:space="preserve">“ проектните предложения по настоящата процедура следва задължително да имат принос към постигането на поне един от следните индикатори за резултат: </w:t>
      </w:r>
    </w:p>
    <w:p w:rsidR="00C157C5" w:rsidRPr="00BD3276" w:rsidRDefault="00C157C5"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B12E3A" w:rsidRPr="00B12E3A" w:rsidRDefault="00B12E3A" w:rsidP="00B12E3A">
      <w:pPr>
        <w:pBdr>
          <w:top w:val="single" w:sz="4" w:space="1" w:color="auto"/>
          <w:left w:val="single" w:sz="4" w:space="4" w:color="auto"/>
          <w:bottom w:val="single" w:sz="4" w:space="1" w:color="auto"/>
          <w:right w:val="single" w:sz="4" w:space="4" w:color="auto"/>
        </w:pBdr>
        <w:spacing w:before="600" w:after="600" w:line="240" w:lineRule="auto"/>
        <w:contextualSpacing/>
        <w:jc w:val="both"/>
        <w:rPr>
          <w:rFonts w:ascii="Calibri" w:eastAsia="Calibri" w:hAnsi="Calibri" w:cs="Times New Roman"/>
          <w:sz w:val="24"/>
          <w:szCs w:val="24"/>
        </w:rPr>
      </w:pPr>
      <w:r w:rsidRPr="00B12E3A">
        <w:rPr>
          <w:rFonts w:ascii="Calibri" w:eastAsia="Calibri" w:hAnsi="Calibri" w:cs="Times New Roman"/>
          <w:sz w:val="24"/>
          <w:szCs w:val="24"/>
        </w:rPr>
        <w:t>- Дял на иновативните предприятия;</w:t>
      </w:r>
    </w:p>
    <w:p w:rsidR="00776637" w:rsidRDefault="00B12E3A" w:rsidP="00B12E3A">
      <w:pPr>
        <w:pBdr>
          <w:top w:val="single" w:sz="4" w:space="1" w:color="auto"/>
          <w:left w:val="single" w:sz="4" w:space="4" w:color="auto"/>
          <w:bottom w:val="single" w:sz="4" w:space="1" w:color="auto"/>
          <w:right w:val="single" w:sz="4" w:space="4" w:color="auto"/>
        </w:pBdr>
        <w:spacing w:before="600" w:after="600" w:line="240" w:lineRule="auto"/>
        <w:contextualSpacing/>
        <w:jc w:val="both"/>
        <w:rPr>
          <w:rFonts w:ascii="Calibri" w:eastAsia="Calibri" w:hAnsi="Calibri" w:cs="Times New Roman"/>
          <w:sz w:val="24"/>
          <w:szCs w:val="24"/>
        </w:rPr>
      </w:pPr>
      <w:r w:rsidRPr="00B12E3A">
        <w:rPr>
          <w:rFonts w:ascii="Calibri" w:eastAsia="Calibri" w:hAnsi="Calibri" w:cs="Times New Roman"/>
          <w:sz w:val="24"/>
          <w:szCs w:val="24"/>
        </w:rPr>
        <w:t>- Разходи за иноваци</w:t>
      </w:r>
      <w:r>
        <w:rPr>
          <w:rFonts w:ascii="Calibri" w:eastAsia="Calibri" w:hAnsi="Calibri" w:cs="Times New Roman"/>
          <w:sz w:val="24"/>
          <w:szCs w:val="24"/>
        </w:rPr>
        <w:t>и, които не са резултат от НИРД.</w:t>
      </w:r>
    </w:p>
    <w:p w:rsidR="00B12E3A" w:rsidRPr="00BD3276" w:rsidRDefault="00B12E3A" w:rsidP="00B12E3A">
      <w:pPr>
        <w:pBdr>
          <w:top w:val="single" w:sz="4" w:space="1" w:color="auto"/>
          <w:left w:val="single" w:sz="4" w:space="4" w:color="auto"/>
          <w:bottom w:val="single" w:sz="4" w:space="1" w:color="auto"/>
          <w:right w:val="single" w:sz="4" w:space="4" w:color="auto"/>
        </w:pBdr>
        <w:spacing w:before="600" w:after="600" w:line="240" w:lineRule="auto"/>
        <w:contextualSpacing/>
        <w:jc w:val="both"/>
        <w:rPr>
          <w:rFonts w:ascii="Calibri" w:eastAsia="Calibri" w:hAnsi="Calibri" w:cs="Times New Roman"/>
          <w:sz w:val="24"/>
          <w:szCs w:val="24"/>
        </w:rPr>
      </w:pPr>
    </w:p>
    <w:p w:rsidR="00776637" w:rsidRPr="00AA51E0"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C15219">
        <w:rPr>
          <w:rFonts w:ascii="Calibri" w:eastAsia="Calibri" w:hAnsi="Calibri" w:cs="Times New Roman"/>
          <w:sz w:val="24"/>
          <w:szCs w:val="24"/>
        </w:rPr>
        <w:t xml:space="preserve">Информацията за постигане на индикаторите ще бъде предоставяна служебно от НСИ. При сключване на договор за предоставяне на безвъзмездна финансова помощ </w:t>
      </w:r>
      <w:r w:rsidRPr="00AA51E0">
        <w:rPr>
          <w:rFonts w:ascii="Calibri" w:eastAsia="Calibri" w:hAnsi="Calibri" w:cs="Times New Roman"/>
          <w:sz w:val="24"/>
          <w:szCs w:val="24"/>
        </w:rPr>
        <w:t>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 (П</w:t>
      </w:r>
      <w:r w:rsidR="00670B17" w:rsidRPr="00AA51E0">
        <w:rPr>
          <w:rFonts w:ascii="Calibri" w:eastAsia="Calibri" w:hAnsi="Calibri" w:cs="Times New Roman"/>
          <w:sz w:val="24"/>
          <w:szCs w:val="24"/>
        </w:rPr>
        <w:t xml:space="preserve">риложение </w:t>
      </w:r>
      <w:r w:rsidR="00F40AB7" w:rsidRPr="00AA51E0">
        <w:rPr>
          <w:rFonts w:ascii="Calibri" w:eastAsia="Calibri" w:hAnsi="Calibri" w:cs="Times New Roman"/>
          <w:sz w:val="24"/>
          <w:szCs w:val="24"/>
        </w:rPr>
        <w:t>И</w:t>
      </w:r>
      <w:r w:rsidRPr="00AA51E0">
        <w:rPr>
          <w:rFonts w:ascii="Calibri" w:eastAsia="Calibri" w:hAnsi="Calibri" w:cs="Times New Roman"/>
          <w:sz w:val="24"/>
          <w:szCs w:val="24"/>
        </w:rPr>
        <w:t>).</w:t>
      </w:r>
    </w:p>
    <w:p w:rsidR="00776637" w:rsidRPr="00AA51E0" w:rsidRDefault="00776637" w:rsidP="0077663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776637" w:rsidRPr="00AA51E0" w:rsidRDefault="00776637" w:rsidP="0077663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t xml:space="preserve">Допълнително, УО на ОПИК ще следи за изпълнението и отчитането на следните индикатори за изпълнение: </w:t>
      </w:r>
    </w:p>
    <w:p w:rsidR="00C157C5" w:rsidRPr="00AA51E0" w:rsidRDefault="00C157C5"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D22D3F" w:rsidRPr="00AA51E0" w:rsidRDefault="0094661D"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t xml:space="preserve">- </w:t>
      </w:r>
      <w:r w:rsidR="00D22D3F" w:rsidRPr="00AA51E0">
        <w:rPr>
          <w:rFonts w:ascii="Calibri" w:eastAsia="Calibri" w:hAnsi="Calibri" w:cs="Times New Roman"/>
          <w:sz w:val="24"/>
          <w:szCs w:val="24"/>
        </w:rPr>
        <w:t>Брой на предприятията, получаващи подкрепа;</w:t>
      </w:r>
    </w:p>
    <w:p w:rsidR="00D22D3F" w:rsidRPr="00AA51E0" w:rsidRDefault="00D22D3F"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t xml:space="preserve">- Брой предприятия, подпомогнати да въведат нови за фирмата продукти; </w:t>
      </w:r>
    </w:p>
    <w:p w:rsidR="00D22D3F" w:rsidRPr="00AA51E0" w:rsidRDefault="00D22D3F"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t>- Брой предприятия, подпомогнати да въведат нови за пазара продукти;</w:t>
      </w:r>
    </w:p>
    <w:p w:rsidR="00912036" w:rsidRPr="00AA51E0" w:rsidRDefault="00C157C5"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lastRenderedPageBreak/>
        <w:t xml:space="preserve">- </w:t>
      </w:r>
      <w:r w:rsidR="00D22D3F" w:rsidRPr="00AA51E0">
        <w:rPr>
          <w:rFonts w:ascii="Calibri" w:eastAsia="Calibri" w:hAnsi="Calibri" w:cs="Times New Roman"/>
          <w:sz w:val="24"/>
          <w:szCs w:val="24"/>
        </w:rPr>
        <w:t>Частни инвестиции, допълващи публичната подкрепа за иновации или за научноизследователски и развойни проекти.</w:t>
      </w:r>
    </w:p>
    <w:p w:rsidR="00DE0BCB" w:rsidRPr="00AA51E0" w:rsidRDefault="00DE0BCB"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DE0BCB" w:rsidRPr="00AA51E0" w:rsidRDefault="00DE0BCB" w:rsidP="00DE0BCB">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lang w:val="en-US"/>
        </w:rPr>
      </w:pPr>
      <w:r w:rsidRPr="00AA51E0">
        <w:rPr>
          <w:rFonts w:ascii="Calibri" w:eastAsia="Calibri" w:hAnsi="Calibri" w:cs="Times New Roman"/>
          <w:sz w:val="24"/>
          <w:szCs w:val="24"/>
        </w:rPr>
        <w:t>В случай че е приложимо, кандидатите следва да предоставят информация и за следните индикатори:</w:t>
      </w:r>
    </w:p>
    <w:p w:rsidR="00D22D3F" w:rsidRPr="00AA51E0" w:rsidRDefault="00DE0BCB" w:rsidP="00D22D3F">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roofErr w:type="gramStart"/>
      <w:r w:rsidRPr="00AA51E0">
        <w:rPr>
          <w:rFonts w:ascii="Calibri" w:eastAsia="Calibri" w:hAnsi="Calibri" w:cs="Times New Roman"/>
          <w:sz w:val="24"/>
          <w:szCs w:val="24"/>
          <w:lang w:val="en-US"/>
        </w:rPr>
        <w:t xml:space="preserve">- </w:t>
      </w:r>
      <w:r w:rsidRPr="00AA51E0">
        <w:rPr>
          <w:rFonts w:ascii="Calibri" w:eastAsia="Calibri" w:hAnsi="Calibri" w:cs="Times New Roman"/>
          <w:sz w:val="24"/>
          <w:szCs w:val="24"/>
        </w:rPr>
        <w:t xml:space="preserve">Финансирани проекти за </w:t>
      </w:r>
      <w:proofErr w:type="spellStart"/>
      <w:r w:rsidRPr="00AA51E0">
        <w:rPr>
          <w:rFonts w:ascii="Calibri" w:eastAsia="Calibri" w:hAnsi="Calibri" w:cs="Times New Roman"/>
          <w:sz w:val="24"/>
          <w:szCs w:val="24"/>
        </w:rPr>
        <w:t>еко-иновации</w:t>
      </w:r>
      <w:proofErr w:type="spellEnd"/>
      <w:r w:rsidRPr="00AA51E0">
        <w:rPr>
          <w:rFonts w:ascii="Calibri" w:eastAsia="Calibri" w:hAnsi="Calibri" w:cs="Times New Roman"/>
          <w:sz w:val="24"/>
          <w:szCs w:val="24"/>
        </w:rPr>
        <w:t>.</w:t>
      </w:r>
      <w:proofErr w:type="gramEnd"/>
    </w:p>
    <w:p w:rsidR="00776637" w:rsidRPr="00BD3276"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AA51E0">
        <w:rPr>
          <w:rFonts w:ascii="Calibri" w:eastAsia="Calibri" w:hAnsi="Calibri" w:cs="Times New Roman"/>
          <w:sz w:val="24"/>
          <w:szCs w:val="24"/>
        </w:rPr>
        <w:t xml:space="preserve">В т. 8 от Формуляра за кандидатстване кандидатите следва да попълнят данни за базова/целева стойност по горепосочените индикатори за изпълнение в съответствие с Указанията на УО за </w:t>
      </w:r>
      <w:r w:rsidRPr="00AA51E0">
        <w:rPr>
          <w:rFonts w:ascii="Calibri" w:eastAsia="Calibri" w:hAnsi="Calibri" w:cs="Times New Roman"/>
          <w:bCs/>
          <w:sz w:val="24"/>
          <w:szCs w:val="24"/>
        </w:rPr>
        <w:t xml:space="preserve">попълване на електронен формуляр </w:t>
      </w:r>
      <w:r w:rsidR="00E26304" w:rsidRPr="00AA51E0">
        <w:rPr>
          <w:rFonts w:ascii="Calibri" w:eastAsia="Calibri" w:hAnsi="Calibri" w:cs="Times New Roman"/>
          <w:bCs/>
          <w:sz w:val="24"/>
          <w:szCs w:val="24"/>
        </w:rPr>
        <w:t>за кандидатстване – Приложение</w:t>
      </w:r>
      <w:r w:rsidR="00F40AB7" w:rsidRPr="00AA51E0">
        <w:rPr>
          <w:rFonts w:ascii="Calibri" w:eastAsia="Calibri" w:hAnsi="Calibri" w:cs="Times New Roman"/>
          <w:bCs/>
          <w:sz w:val="24"/>
          <w:szCs w:val="24"/>
        </w:rPr>
        <w:t xml:space="preserve"> А</w:t>
      </w:r>
      <w:r w:rsidRPr="00AA51E0">
        <w:rPr>
          <w:rFonts w:ascii="Calibri" w:eastAsia="Calibri" w:hAnsi="Calibri" w:cs="Times New Roman"/>
          <w:bCs/>
          <w:sz w:val="24"/>
          <w:szCs w:val="24"/>
        </w:rPr>
        <w:t>.</w:t>
      </w:r>
      <w:r w:rsidRPr="00BD3276">
        <w:rPr>
          <w:rFonts w:ascii="Calibri" w:eastAsia="Calibri" w:hAnsi="Calibri" w:cs="Times New Roman"/>
          <w:sz w:val="24"/>
          <w:szCs w:val="24"/>
        </w:rPr>
        <w:t xml:space="preserve"> </w:t>
      </w:r>
    </w:p>
    <w:p w:rsidR="00BF4819" w:rsidRPr="00BD3276" w:rsidRDefault="00BF4819"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E26304" w:rsidRPr="009B3923" w:rsidRDefault="006615D5" w:rsidP="006615D5">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9B3923">
        <w:rPr>
          <w:rFonts w:ascii="Calibri" w:eastAsia="Calibri" w:hAnsi="Calibri" w:cs="Times New Roman"/>
          <w:b/>
          <w:sz w:val="24"/>
          <w:szCs w:val="24"/>
        </w:rPr>
        <w:t>ВАЖНО:</w:t>
      </w:r>
      <w:r w:rsidRPr="009B3923">
        <w:rPr>
          <w:rFonts w:ascii="Calibri" w:eastAsia="Calibri" w:hAnsi="Calibri" w:cs="Times New Roman"/>
          <w:sz w:val="24"/>
          <w:szCs w:val="24"/>
        </w:rPr>
        <w:t xml:space="preserve"> Повече информация по отчитането на индикаторите за резултат и изпълнение по ОПИК е дадена в </w:t>
      </w:r>
      <w:proofErr w:type="spellStart"/>
      <w:r w:rsidRPr="009B3923">
        <w:rPr>
          <w:rFonts w:ascii="Calibri" w:eastAsia="Calibri" w:hAnsi="Calibri" w:cs="Times New Roman"/>
          <w:sz w:val="24"/>
          <w:szCs w:val="24"/>
        </w:rPr>
        <w:t>Методологическите</w:t>
      </w:r>
      <w:proofErr w:type="spellEnd"/>
      <w:r w:rsidRPr="009B3923">
        <w:rPr>
          <w:rFonts w:ascii="Calibri" w:eastAsia="Calibri" w:hAnsi="Calibri" w:cs="Times New Roman"/>
          <w:sz w:val="24"/>
          <w:szCs w:val="24"/>
        </w:rPr>
        <w:t xml:space="preserve"> насоки за отчитането на индикаторите за резултат и изпълнение по ОПИК</w:t>
      </w:r>
      <w:r w:rsidR="00E26304" w:rsidRPr="009B3923">
        <w:rPr>
          <w:rFonts w:ascii="Calibri" w:eastAsia="Calibri" w:hAnsi="Calibri" w:cs="Times New Roman"/>
          <w:sz w:val="24"/>
          <w:szCs w:val="24"/>
        </w:rPr>
        <w:t xml:space="preserve"> (актуализирана версия)</w:t>
      </w:r>
      <w:r w:rsidRPr="009B3923">
        <w:rPr>
          <w:rFonts w:ascii="Calibri" w:eastAsia="Calibri" w:hAnsi="Calibri" w:cs="Times New Roman"/>
          <w:sz w:val="24"/>
          <w:szCs w:val="24"/>
        </w:rPr>
        <w:t xml:space="preserve">, разработени от Управляващия орган и НСИ, публикувани на следния интернет адрес: </w:t>
      </w:r>
    </w:p>
    <w:p w:rsidR="006615D5" w:rsidRPr="00BD3276" w:rsidRDefault="006615D5" w:rsidP="006615D5">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9B3923">
        <w:rPr>
          <w:rFonts w:ascii="Calibri" w:eastAsia="Calibri" w:hAnsi="Calibri" w:cs="Times New Roman"/>
          <w:sz w:val="24"/>
          <w:szCs w:val="24"/>
        </w:rPr>
        <w:t>http://www.opcompetitiveness.bg/module3.php?menu_id=360.</w:t>
      </w:r>
    </w:p>
    <w:p w:rsidR="00161C7A" w:rsidRPr="00BD3276" w:rsidRDefault="00161C7A" w:rsidP="00161C7A">
      <w:pPr>
        <w:keepNext/>
        <w:keepLines/>
        <w:spacing w:before="120" w:after="0" w:line="240" w:lineRule="auto"/>
        <w:outlineLvl w:val="2"/>
        <w:rPr>
          <w:rFonts w:ascii="Cambria" w:eastAsia="Times New Roman" w:hAnsi="Cambria" w:cs="Times New Roman"/>
          <w:b/>
          <w:bCs/>
          <w:color w:val="4F81BD"/>
          <w:sz w:val="24"/>
          <w:szCs w:val="24"/>
        </w:rPr>
      </w:pPr>
    </w:p>
    <w:p w:rsidR="00776637" w:rsidRPr="005508FB" w:rsidRDefault="00776637" w:rsidP="00775965">
      <w:pPr>
        <w:keepNext/>
        <w:keepLines/>
        <w:spacing w:before="120" w:after="120" w:line="240" w:lineRule="auto"/>
        <w:outlineLvl w:val="2"/>
        <w:rPr>
          <w:rFonts w:eastAsia="Times New Roman" w:cstheme="minorHAnsi"/>
          <w:b/>
          <w:bCs/>
          <w:color w:val="4F81BD"/>
          <w:sz w:val="24"/>
          <w:szCs w:val="24"/>
        </w:rPr>
      </w:pPr>
      <w:bookmarkStart w:id="8" w:name="_Toc418791439"/>
      <w:r w:rsidRPr="005508FB">
        <w:rPr>
          <w:rFonts w:eastAsia="Times New Roman" w:cstheme="minorHAnsi"/>
          <w:b/>
          <w:bCs/>
          <w:color w:val="4F81BD"/>
          <w:sz w:val="24"/>
          <w:szCs w:val="24"/>
        </w:rPr>
        <w:t>7.2. Индивидуални за процедурата и проектите индикатори за изпълнение</w:t>
      </w:r>
      <w:bookmarkEnd w:id="8"/>
      <w:r w:rsidRPr="005508FB">
        <w:rPr>
          <w:rFonts w:eastAsia="Times New Roman" w:cstheme="minorHAnsi"/>
          <w:b/>
          <w:bCs/>
          <w:color w:val="4F81BD"/>
          <w:sz w:val="24"/>
          <w:szCs w:val="24"/>
        </w:rPr>
        <w:t xml:space="preserve"> </w:t>
      </w:r>
    </w:p>
    <w:p w:rsidR="00776637" w:rsidRPr="00FE765F"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B21FE3">
        <w:rPr>
          <w:rFonts w:ascii="Calibri" w:eastAsia="Calibri" w:hAnsi="Calibri" w:cs="Times New Roman"/>
          <w:sz w:val="24"/>
          <w:szCs w:val="24"/>
        </w:rPr>
        <w:t>В т.</w:t>
      </w:r>
      <w:r w:rsidRPr="00B21FE3">
        <w:rPr>
          <w:rFonts w:ascii="Calibri" w:eastAsia="Calibri" w:hAnsi="Calibri" w:cs="Times New Roman"/>
          <w:sz w:val="24"/>
          <w:szCs w:val="24"/>
          <w:lang w:val="en-US"/>
        </w:rPr>
        <w:t xml:space="preserve"> </w:t>
      </w:r>
      <w:r w:rsidRPr="00B21FE3">
        <w:rPr>
          <w:rFonts w:ascii="Calibri" w:eastAsia="Calibri" w:hAnsi="Calibri" w:cs="Times New Roman"/>
          <w:sz w:val="24"/>
          <w:szCs w:val="24"/>
        </w:rPr>
        <w:t>8 от Формуляра за кандидатстване, кандидатите следва да предоставят информация по посочените по-долу индикатори като имат предвид, че посочените от тях стойности ще бъдат оценявани по критериите съгласно раздел Раздел III „</w:t>
      </w:r>
      <w:r w:rsidR="001925F0" w:rsidRPr="00B21FE3">
        <w:rPr>
          <w:rFonts w:ascii="Calibri" w:eastAsia="Calibri" w:hAnsi="Calibri" w:cs="Times New Roman"/>
          <w:sz w:val="24"/>
          <w:szCs w:val="24"/>
        </w:rPr>
        <w:t xml:space="preserve">Конкурентоспособност на предприятието в резултат на изпълнението на проекта (прогнозни данни)“ </w:t>
      </w:r>
      <w:r w:rsidR="006237FF" w:rsidRPr="00B21FE3">
        <w:rPr>
          <w:rFonts w:ascii="Calibri" w:eastAsia="Calibri" w:hAnsi="Calibri" w:cs="Times New Roman"/>
          <w:sz w:val="24"/>
          <w:szCs w:val="24"/>
        </w:rPr>
        <w:t>на критериите за техническа и финансова оценка</w:t>
      </w:r>
      <w:r w:rsidR="00060F41" w:rsidRPr="00B21FE3">
        <w:rPr>
          <w:rFonts w:ascii="Calibri" w:eastAsia="Calibri" w:hAnsi="Calibri" w:cs="Times New Roman"/>
          <w:sz w:val="24"/>
          <w:szCs w:val="24"/>
        </w:rPr>
        <w:t xml:space="preserve">, част </w:t>
      </w:r>
      <w:r w:rsidR="001925F0" w:rsidRPr="00B21FE3">
        <w:rPr>
          <w:rFonts w:ascii="Calibri" w:eastAsia="Calibri" w:hAnsi="Calibri" w:cs="Times New Roman"/>
          <w:sz w:val="24"/>
          <w:szCs w:val="24"/>
        </w:rPr>
        <w:t>от Приложение</w:t>
      </w:r>
      <w:r w:rsidR="00F40AB7" w:rsidRPr="00B21FE3">
        <w:rPr>
          <w:rFonts w:ascii="Calibri" w:eastAsia="Calibri" w:hAnsi="Calibri" w:cs="Times New Roman"/>
          <w:sz w:val="24"/>
          <w:szCs w:val="24"/>
        </w:rPr>
        <w:t xml:space="preserve"> Й</w:t>
      </w:r>
      <w:r w:rsidRPr="00B21FE3">
        <w:rPr>
          <w:rFonts w:ascii="Calibri" w:eastAsia="Calibri" w:hAnsi="Calibri" w:cs="Times New Roman"/>
          <w:sz w:val="24"/>
          <w:szCs w:val="24"/>
        </w:rPr>
        <w:t xml:space="preserve"> „Критерии</w:t>
      </w:r>
      <w:r w:rsidRPr="00FE765F">
        <w:rPr>
          <w:rFonts w:ascii="Calibri" w:eastAsia="Calibri" w:hAnsi="Calibri" w:cs="Times New Roman"/>
          <w:sz w:val="24"/>
          <w:szCs w:val="24"/>
        </w:rPr>
        <w:t xml:space="preserve"> и методология за оценка“:</w:t>
      </w:r>
    </w:p>
    <w:p w:rsidR="00776637" w:rsidRPr="00FE765F"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FE765F">
        <w:rPr>
          <w:rFonts w:ascii="Calibri" w:eastAsia="Calibri" w:hAnsi="Calibri" w:cs="Times New Roman"/>
          <w:sz w:val="24"/>
          <w:szCs w:val="24"/>
        </w:rPr>
        <w:t xml:space="preserve"> - Вътрешна норма на възвръщаемост;</w:t>
      </w:r>
    </w:p>
    <w:p w:rsidR="00776637" w:rsidRPr="00FE765F"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FE765F">
        <w:rPr>
          <w:rFonts w:ascii="Calibri" w:eastAsia="Calibri" w:hAnsi="Calibri" w:cs="Times New Roman"/>
          <w:sz w:val="24"/>
          <w:szCs w:val="24"/>
        </w:rPr>
        <w:t xml:space="preserve"> - </w:t>
      </w:r>
      <w:proofErr w:type="spellStart"/>
      <w:r w:rsidR="001925F0" w:rsidRPr="001925F0">
        <w:rPr>
          <w:rFonts w:ascii="Calibri" w:eastAsia="Calibri" w:hAnsi="Calibri" w:cs="Times New Roman"/>
          <w:sz w:val="24"/>
          <w:szCs w:val="24"/>
        </w:rPr>
        <w:t>Дисконтиран</w:t>
      </w:r>
      <w:proofErr w:type="spellEnd"/>
      <w:r w:rsidR="001925F0" w:rsidRPr="001925F0">
        <w:rPr>
          <w:rFonts w:ascii="Calibri" w:eastAsia="Calibri" w:hAnsi="Calibri" w:cs="Times New Roman"/>
          <w:sz w:val="24"/>
          <w:szCs w:val="24"/>
        </w:rPr>
        <w:t xml:space="preserve"> срок за откупуване на инвестициите</w:t>
      </w:r>
      <w:r w:rsidRPr="00FE765F">
        <w:rPr>
          <w:rFonts w:ascii="Calibri" w:eastAsia="Calibri" w:hAnsi="Calibri" w:cs="Times New Roman"/>
          <w:sz w:val="24"/>
          <w:szCs w:val="24"/>
        </w:rPr>
        <w:t>;</w:t>
      </w:r>
    </w:p>
    <w:p w:rsidR="00776637" w:rsidRPr="00FE765F"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FE765F">
        <w:rPr>
          <w:rFonts w:ascii="Calibri" w:eastAsia="Calibri" w:hAnsi="Calibri" w:cs="Times New Roman"/>
          <w:sz w:val="24"/>
          <w:szCs w:val="24"/>
        </w:rPr>
        <w:t xml:space="preserve"> - </w:t>
      </w:r>
      <w:r w:rsidR="001925F0" w:rsidRPr="001925F0">
        <w:rPr>
          <w:rFonts w:ascii="Calibri" w:eastAsia="Calibri" w:hAnsi="Calibri" w:cs="Times New Roman"/>
          <w:sz w:val="24"/>
          <w:szCs w:val="24"/>
        </w:rPr>
        <w:t>Нарастване на производителността на предприятието вследствие на изпълнението на проекта</w:t>
      </w:r>
      <w:r w:rsidRPr="00FE765F">
        <w:rPr>
          <w:rFonts w:ascii="Calibri" w:eastAsia="Calibri" w:hAnsi="Calibri" w:cs="Times New Roman"/>
          <w:sz w:val="24"/>
          <w:szCs w:val="24"/>
        </w:rPr>
        <w:t>;</w:t>
      </w:r>
    </w:p>
    <w:p w:rsidR="00776637"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Times New Roman" w:hAnsi="Calibri" w:cs="Calibri"/>
          <w:sz w:val="24"/>
          <w:szCs w:val="24"/>
          <w:lang w:eastAsia="pl-PL"/>
        </w:rPr>
      </w:pPr>
      <w:r w:rsidRPr="00FE765F">
        <w:rPr>
          <w:rFonts w:ascii="Calibri" w:eastAsia="Calibri" w:hAnsi="Calibri" w:cs="Times New Roman"/>
          <w:sz w:val="24"/>
          <w:szCs w:val="24"/>
        </w:rPr>
        <w:t xml:space="preserve"> - </w:t>
      </w:r>
      <w:r w:rsidR="001925F0" w:rsidRPr="001925F0">
        <w:rPr>
          <w:rFonts w:ascii="Calibri" w:eastAsia="Calibri" w:hAnsi="Calibri" w:cs="Times New Roman"/>
          <w:sz w:val="24"/>
          <w:szCs w:val="24"/>
        </w:rPr>
        <w:t>Нарастване на нетните приходи от продажби/Обща стойност на проекта</w:t>
      </w:r>
      <w:r w:rsidRPr="00FE765F">
        <w:rPr>
          <w:rFonts w:ascii="Calibri" w:eastAsia="Times New Roman" w:hAnsi="Calibri" w:cs="Calibri"/>
          <w:sz w:val="24"/>
          <w:szCs w:val="24"/>
          <w:lang w:eastAsia="pl-PL"/>
        </w:rPr>
        <w:t>.</w:t>
      </w:r>
    </w:p>
    <w:p w:rsidR="00776637" w:rsidRPr="00FE765F"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AC6AE6" w:rsidRPr="00FE765F" w:rsidRDefault="000C1CBF" w:rsidP="00AC6AE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bCs/>
          <w:sz w:val="24"/>
          <w:szCs w:val="24"/>
        </w:rPr>
      </w:pPr>
      <w:r w:rsidRPr="00FE765F">
        <w:rPr>
          <w:rFonts w:ascii="Calibri" w:eastAsia="Calibri" w:hAnsi="Calibri" w:cs="Times New Roman"/>
          <w:b/>
          <w:sz w:val="24"/>
          <w:szCs w:val="24"/>
        </w:rPr>
        <w:t>ВАЖНО:</w:t>
      </w:r>
      <w:r w:rsidRPr="00FE765F">
        <w:rPr>
          <w:rFonts w:ascii="Calibri" w:eastAsia="Calibri" w:hAnsi="Calibri" w:cs="Times New Roman"/>
          <w:sz w:val="24"/>
          <w:szCs w:val="24"/>
        </w:rPr>
        <w:t xml:space="preserve"> </w:t>
      </w:r>
      <w:r w:rsidR="00AC6AE6" w:rsidRPr="00FE765F">
        <w:rPr>
          <w:rFonts w:ascii="Calibri" w:eastAsia="Calibri" w:hAnsi="Calibri" w:cs="Times New Roman"/>
          <w:sz w:val="24"/>
          <w:szCs w:val="24"/>
        </w:rPr>
        <w:t xml:space="preserve">При залагане и отчитане на индикаторите по настоящата процедура следва да се </w:t>
      </w:r>
      <w:r w:rsidR="00AC6AE6" w:rsidRPr="00B21FE3">
        <w:rPr>
          <w:rFonts w:ascii="Calibri" w:eastAsia="Calibri" w:hAnsi="Calibri" w:cs="Times New Roman"/>
          <w:sz w:val="24"/>
          <w:szCs w:val="24"/>
        </w:rPr>
        <w:t xml:space="preserve">спазват Указанията на УО  за </w:t>
      </w:r>
      <w:r w:rsidR="00AC6AE6" w:rsidRPr="00B21FE3">
        <w:rPr>
          <w:rFonts w:ascii="Calibri" w:eastAsia="Calibri" w:hAnsi="Calibri" w:cs="Times New Roman"/>
          <w:bCs/>
          <w:sz w:val="24"/>
          <w:szCs w:val="24"/>
        </w:rPr>
        <w:t>попълване на електронен формуляр з</w:t>
      </w:r>
      <w:r w:rsidR="00837F89" w:rsidRPr="00B21FE3">
        <w:rPr>
          <w:rFonts w:ascii="Calibri" w:eastAsia="Calibri" w:hAnsi="Calibri" w:cs="Times New Roman"/>
          <w:bCs/>
          <w:sz w:val="24"/>
          <w:szCs w:val="24"/>
        </w:rPr>
        <w:t>а кандидатстване – (Приложение</w:t>
      </w:r>
      <w:r w:rsidR="00F40AB7" w:rsidRPr="00B21FE3">
        <w:rPr>
          <w:rFonts w:ascii="Calibri" w:eastAsia="Calibri" w:hAnsi="Calibri" w:cs="Times New Roman"/>
          <w:bCs/>
          <w:sz w:val="24"/>
          <w:szCs w:val="24"/>
        </w:rPr>
        <w:t xml:space="preserve"> А</w:t>
      </w:r>
      <w:r w:rsidR="00AC6AE6" w:rsidRPr="00B21FE3">
        <w:rPr>
          <w:rFonts w:ascii="Calibri" w:eastAsia="Calibri" w:hAnsi="Calibri" w:cs="Times New Roman"/>
          <w:bCs/>
          <w:sz w:val="24"/>
          <w:szCs w:val="24"/>
        </w:rPr>
        <w:t>) и Критериите и методологията за оценка на пр</w:t>
      </w:r>
      <w:r w:rsidR="00837F89" w:rsidRPr="00B21FE3">
        <w:rPr>
          <w:rFonts w:ascii="Calibri" w:eastAsia="Calibri" w:hAnsi="Calibri" w:cs="Times New Roman"/>
          <w:bCs/>
          <w:sz w:val="24"/>
          <w:szCs w:val="24"/>
        </w:rPr>
        <w:t>оектни предложения (Приложение</w:t>
      </w:r>
      <w:r w:rsidR="00F40AB7" w:rsidRPr="00B21FE3">
        <w:rPr>
          <w:rFonts w:ascii="Calibri" w:eastAsia="Calibri" w:hAnsi="Calibri" w:cs="Times New Roman"/>
          <w:bCs/>
          <w:sz w:val="24"/>
          <w:szCs w:val="24"/>
        </w:rPr>
        <w:t xml:space="preserve"> </w:t>
      </w:r>
      <w:r w:rsidR="00CA1955" w:rsidRPr="00B21FE3">
        <w:rPr>
          <w:rFonts w:ascii="Calibri" w:eastAsia="Calibri" w:hAnsi="Calibri" w:cs="Times New Roman"/>
          <w:bCs/>
          <w:sz w:val="24"/>
          <w:szCs w:val="24"/>
        </w:rPr>
        <w:t>Й</w:t>
      </w:r>
      <w:r w:rsidR="00AC6AE6" w:rsidRPr="00B21FE3">
        <w:rPr>
          <w:rFonts w:ascii="Calibri" w:eastAsia="Calibri" w:hAnsi="Calibri" w:cs="Times New Roman"/>
          <w:bCs/>
          <w:sz w:val="24"/>
          <w:szCs w:val="24"/>
        </w:rPr>
        <w:t>).</w:t>
      </w:r>
      <w:r w:rsidR="00AC6AE6" w:rsidRPr="00FE765F">
        <w:rPr>
          <w:rFonts w:ascii="Calibri" w:eastAsia="Calibri" w:hAnsi="Calibri" w:cs="Times New Roman"/>
          <w:bCs/>
          <w:sz w:val="24"/>
          <w:szCs w:val="24"/>
        </w:rPr>
        <w:t xml:space="preserve"> </w:t>
      </w:r>
    </w:p>
    <w:p w:rsidR="00DB3A4F" w:rsidRPr="00FE765F" w:rsidRDefault="00DB3A4F" w:rsidP="00AC6AE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bCs/>
          <w:sz w:val="24"/>
          <w:szCs w:val="24"/>
        </w:rPr>
      </w:pPr>
    </w:p>
    <w:p w:rsidR="00DB3A4F" w:rsidRPr="00FE765F" w:rsidRDefault="000C1CBF" w:rsidP="00AC6AE6">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bCs/>
          <w:sz w:val="24"/>
          <w:szCs w:val="24"/>
        </w:rPr>
      </w:pPr>
      <w:r w:rsidRPr="00FE765F">
        <w:rPr>
          <w:rFonts w:ascii="Calibri" w:eastAsia="Calibri" w:hAnsi="Calibri" w:cs="Times New Roman"/>
          <w:b/>
          <w:sz w:val="24"/>
          <w:szCs w:val="24"/>
        </w:rPr>
        <w:t>ВАЖНО:</w:t>
      </w:r>
      <w:r w:rsidRPr="00FE765F">
        <w:rPr>
          <w:rFonts w:ascii="Calibri" w:eastAsia="Calibri" w:hAnsi="Calibri" w:cs="Times New Roman"/>
          <w:sz w:val="24"/>
          <w:szCs w:val="24"/>
        </w:rPr>
        <w:t xml:space="preserve"> </w:t>
      </w:r>
      <w:r w:rsidR="00DB3A4F" w:rsidRPr="00FE765F">
        <w:rPr>
          <w:rFonts w:ascii="Calibri" w:eastAsia="Calibri" w:hAnsi="Calibri" w:cs="Times New Roman"/>
          <w:bCs/>
          <w:sz w:val="24"/>
          <w:szCs w:val="24"/>
        </w:rPr>
        <w:t>В случай на разминаване между заложен</w:t>
      </w:r>
      <w:r w:rsidRPr="00FE765F">
        <w:rPr>
          <w:rFonts w:ascii="Calibri" w:eastAsia="Calibri" w:hAnsi="Calibri" w:cs="Times New Roman"/>
          <w:bCs/>
          <w:sz w:val="24"/>
          <w:szCs w:val="24"/>
        </w:rPr>
        <w:t>ите</w:t>
      </w:r>
      <w:r w:rsidR="00DB3A4F" w:rsidRPr="00FE765F">
        <w:rPr>
          <w:rFonts w:ascii="Calibri" w:eastAsia="Calibri" w:hAnsi="Calibri" w:cs="Times New Roman"/>
          <w:bCs/>
          <w:sz w:val="24"/>
          <w:szCs w:val="24"/>
        </w:rPr>
        <w:t xml:space="preserve"> от кандидата стойност</w:t>
      </w:r>
      <w:r w:rsidRPr="00FE765F">
        <w:rPr>
          <w:rFonts w:ascii="Calibri" w:eastAsia="Calibri" w:hAnsi="Calibri" w:cs="Times New Roman"/>
          <w:bCs/>
          <w:sz w:val="24"/>
          <w:szCs w:val="24"/>
        </w:rPr>
        <w:t>и</w:t>
      </w:r>
      <w:r w:rsidR="00DB3A4F" w:rsidRPr="00FE765F">
        <w:rPr>
          <w:rFonts w:ascii="Calibri" w:eastAsia="Calibri" w:hAnsi="Calibri" w:cs="Times New Roman"/>
          <w:bCs/>
          <w:sz w:val="24"/>
          <w:szCs w:val="24"/>
        </w:rPr>
        <w:t xml:space="preserve"> на индикаторите </w:t>
      </w:r>
      <w:r w:rsidR="00DB3A4F" w:rsidRPr="00B21FE3">
        <w:rPr>
          <w:rFonts w:ascii="Calibri" w:eastAsia="Calibri" w:hAnsi="Calibri" w:cs="Times New Roman"/>
          <w:bCs/>
          <w:sz w:val="24"/>
          <w:szCs w:val="24"/>
        </w:rPr>
        <w:t xml:space="preserve">в т. 8 от Формуляра за кандидатстване и стойностите </w:t>
      </w:r>
      <w:r w:rsidR="00606FE8" w:rsidRPr="00B21FE3">
        <w:rPr>
          <w:rFonts w:ascii="Calibri" w:eastAsia="Calibri" w:hAnsi="Calibri" w:cs="Times New Roman"/>
          <w:bCs/>
          <w:sz w:val="24"/>
          <w:szCs w:val="24"/>
        </w:rPr>
        <w:t>получени при оценката на проектното предложение</w:t>
      </w:r>
      <w:r w:rsidR="00606FE8" w:rsidRPr="00FE765F">
        <w:rPr>
          <w:rFonts w:ascii="Calibri" w:eastAsia="Calibri" w:hAnsi="Calibri" w:cs="Times New Roman"/>
          <w:bCs/>
          <w:sz w:val="24"/>
          <w:szCs w:val="24"/>
        </w:rPr>
        <w:t xml:space="preserve">, за изпълнение на проекта </w:t>
      </w:r>
      <w:r w:rsidR="002D7BEB" w:rsidRPr="00FE765F">
        <w:rPr>
          <w:rFonts w:ascii="Calibri" w:eastAsia="Calibri" w:hAnsi="Calibri" w:cs="Times New Roman"/>
          <w:bCs/>
          <w:sz w:val="24"/>
          <w:szCs w:val="24"/>
        </w:rPr>
        <w:t xml:space="preserve">в договора за безвъзмездна финансова помощ </w:t>
      </w:r>
      <w:r w:rsidR="00606FE8" w:rsidRPr="00FE765F">
        <w:rPr>
          <w:rFonts w:ascii="Calibri" w:eastAsia="Calibri" w:hAnsi="Calibri" w:cs="Times New Roman"/>
          <w:bCs/>
          <w:sz w:val="24"/>
          <w:szCs w:val="24"/>
        </w:rPr>
        <w:t>ще се вземат предвид</w:t>
      </w:r>
      <w:r w:rsidR="005D5898" w:rsidRPr="00FE765F">
        <w:rPr>
          <w:rFonts w:ascii="Calibri" w:eastAsia="Calibri" w:hAnsi="Calibri" w:cs="Times New Roman"/>
          <w:bCs/>
          <w:sz w:val="24"/>
          <w:szCs w:val="24"/>
        </w:rPr>
        <w:t xml:space="preserve"> стойностите</w:t>
      </w:r>
      <w:r w:rsidR="007855B9" w:rsidRPr="00FE765F">
        <w:rPr>
          <w:rFonts w:ascii="Calibri" w:eastAsia="Calibri" w:hAnsi="Calibri" w:cs="Times New Roman"/>
          <w:bCs/>
          <w:sz w:val="24"/>
          <w:szCs w:val="24"/>
        </w:rPr>
        <w:t>,</w:t>
      </w:r>
      <w:r w:rsidR="005D5898" w:rsidRPr="00FE765F">
        <w:rPr>
          <w:rFonts w:ascii="Calibri" w:eastAsia="Calibri" w:hAnsi="Calibri" w:cs="Times New Roman"/>
          <w:bCs/>
          <w:sz w:val="24"/>
          <w:szCs w:val="24"/>
        </w:rPr>
        <w:t xml:space="preserve"> получени при оценката на проектното предложение.</w:t>
      </w:r>
    </w:p>
    <w:p w:rsidR="00AC6AE6" w:rsidRPr="00BD3276" w:rsidRDefault="00AC6AE6"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5917B3" w:rsidRDefault="00776637"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BD3276">
        <w:rPr>
          <w:rFonts w:ascii="Calibri" w:eastAsia="Calibri" w:hAnsi="Calibri" w:cs="Times New Roman"/>
          <w:sz w:val="24"/>
          <w:szCs w:val="24"/>
        </w:rPr>
        <w:t>В случай че кандидатът е предвидил</w:t>
      </w:r>
      <w:r w:rsidR="009F3F86">
        <w:rPr>
          <w:rFonts w:ascii="Calibri" w:eastAsia="Calibri" w:hAnsi="Calibri" w:cs="Times New Roman"/>
          <w:sz w:val="24"/>
          <w:szCs w:val="24"/>
        </w:rPr>
        <w:t xml:space="preserve"> внедряване на </w:t>
      </w:r>
      <w:proofErr w:type="spellStart"/>
      <w:r w:rsidR="009F3F86">
        <w:rPr>
          <w:rFonts w:ascii="Calibri" w:eastAsia="Calibri" w:hAnsi="Calibri" w:cs="Times New Roman"/>
          <w:sz w:val="24"/>
          <w:szCs w:val="24"/>
        </w:rPr>
        <w:t>еко-иновации</w:t>
      </w:r>
      <w:proofErr w:type="spellEnd"/>
      <w:r w:rsidR="009F3F86">
        <w:rPr>
          <w:rFonts w:ascii="Calibri" w:eastAsia="Calibri" w:hAnsi="Calibri" w:cs="Times New Roman"/>
          <w:sz w:val="24"/>
          <w:szCs w:val="24"/>
        </w:rPr>
        <w:t xml:space="preserve"> в рамките на проекта</w:t>
      </w:r>
      <w:r w:rsidRPr="00BD3276">
        <w:rPr>
          <w:rFonts w:ascii="Calibri" w:eastAsia="Calibri" w:hAnsi="Calibri" w:cs="Times New Roman"/>
          <w:sz w:val="24"/>
          <w:szCs w:val="24"/>
        </w:rPr>
        <w:t xml:space="preserve">, то той следва да попълни задължително </w:t>
      </w:r>
      <w:r w:rsidR="006854F3">
        <w:rPr>
          <w:rFonts w:ascii="Calibri" w:eastAsia="Calibri" w:hAnsi="Calibri" w:cs="Times New Roman"/>
          <w:sz w:val="24"/>
          <w:szCs w:val="24"/>
        </w:rPr>
        <w:t>индикатора, посочен по-долу</w:t>
      </w:r>
      <w:r w:rsidRPr="00BD3276">
        <w:rPr>
          <w:rFonts w:ascii="Calibri" w:eastAsia="Calibri" w:hAnsi="Calibri" w:cs="Times New Roman"/>
          <w:sz w:val="24"/>
          <w:szCs w:val="24"/>
        </w:rPr>
        <w:t>:</w:t>
      </w:r>
    </w:p>
    <w:p w:rsidR="006854F3" w:rsidRDefault="006854F3"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r w:rsidRPr="006854F3">
        <w:rPr>
          <w:rFonts w:ascii="Calibri" w:eastAsia="Calibri" w:hAnsi="Calibri" w:cs="Times New Roman"/>
          <w:sz w:val="24"/>
          <w:szCs w:val="24"/>
        </w:rPr>
        <w:t xml:space="preserve">- Финансирани проекти за </w:t>
      </w:r>
      <w:proofErr w:type="spellStart"/>
      <w:r w:rsidRPr="006854F3">
        <w:rPr>
          <w:rFonts w:ascii="Calibri" w:eastAsia="Calibri" w:hAnsi="Calibri" w:cs="Times New Roman"/>
          <w:sz w:val="24"/>
          <w:szCs w:val="24"/>
        </w:rPr>
        <w:t>еко-иновации</w:t>
      </w:r>
      <w:proofErr w:type="spellEnd"/>
      <w:r w:rsidRPr="006854F3">
        <w:rPr>
          <w:rFonts w:ascii="Calibri" w:eastAsia="Calibri" w:hAnsi="Calibri" w:cs="Times New Roman"/>
          <w:sz w:val="24"/>
          <w:szCs w:val="24"/>
        </w:rPr>
        <w:t>.</w:t>
      </w:r>
    </w:p>
    <w:p w:rsidR="005917B3" w:rsidRPr="00BD3276" w:rsidRDefault="005917B3" w:rsidP="00776637">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Calibri" w:eastAsia="Calibri" w:hAnsi="Calibri" w:cs="Times New Roman"/>
          <w:sz w:val="24"/>
          <w:szCs w:val="24"/>
        </w:rPr>
      </w:pPr>
    </w:p>
    <w:p w:rsidR="006854F3" w:rsidRDefault="006854F3" w:rsidP="00230C80">
      <w:pPr>
        <w:pStyle w:val="Heading2"/>
        <w:spacing w:before="0" w:after="120"/>
      </w:pPr>
      <w:bookmarkStart w:id="9" w:name="_Toc418791440"/>
    </w:p>
    <w:p w:rsidR="00CB14EE" w:rsidRPr="00BD3276" w:rsidRDefault="004A58E5" w:rsidP="00230C80">
      <w:pPr>
        <w:pStyle w:val="Heading2"/>
        <w:spacing w:before="0" w:after="120"/>
      </w:pPr>
      <w:r w:rsidRPr="00BD3276">
        <w:t>8</w:t>
      </w:r>
      <w:r w:rsidR="000115A9" w:rsidRPr="00BD3276">
        <w:t>. Общ размер на безвъзмездната финансова помощ по процедурата:</w:t>
      </w:r>
      <w:bookmarkEnd w:id="9"/>
    </w:p>
    <w:p w:rsidR="00813354" w:rsidRPr="00BD3276" w:rsidRDefault="00763554"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Общият размер на безвъзмездната финансова помощ по процедура за п</w:t>
      </w:r>
      <w:r w:rsidR="00487971">
        <w:rPr>
          <w:sz w:val="24"/>
          <w:szCs w:val="24"/>
        </w:rPr>
        <w:t xml:space="preserve">одбор на проекти „Подкрепа за </w:t>
      </w:r>
      <w:r w:rsidR="00AB0B13">
        <w:rPr>
          <w:sz w:val="24"/>
          <w:szCs w:val="24"/>
        </w:rPr>
        <w:t xml:space="preserve">внедряване на </w:t>
      </w:r>
      <w:r w:rsidR="00487971">
        <w:rPr>
          <w:sz w:val="24"/>
          <w:szCs w:val="24"/>
        </w:rPr>
        <w:t>иновации в предприятията</w:t>
      </w:r>
      <w:r w:rsidRPr="00BD3276">
        <w:rPr>
          <w:sz w:val="24"/>
          <w:szCs w:val="24"/>
        </w:rPr>
        <w:t>” е както следва:</w:t>
      </w:r>
    </w:p>
    <w:p w:rsidR="00813354" w:rsidRPr="00BD3276" w:rsidRDefault="00813354"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tbl>
      <w:tblPr>
        <w:tblStyle w:val="TableGrid"/>
        <w:tblW w:w="9606" w:type="dxa"/>
        <w:tblLook w:val="04A0" w:firstRow="1" w:lastRow="0" w:firstColumn="1" w:lastColumn="0" w:noHBand="0" w:noVBand="1"/>
      </w:tblPr>
      <w:tblGrid>
        <w:gridCol w:w="3165"/>
        <w:gridCol w:w="3165"/>
        <w:gridCol w:w="3276"/>
      </w:tblGrid>
      <w:tr w:rsidR="00682B05" w:rsidRPr="00BD3276" w:rsidTr="00682B05">
        <w:tc>
          <w:tcPr>
            <w:tcW w:w="3165" w:type="dxa"/>
            <w:shd w:val="clear" w:color="auto" w:fill="D9D9D9" w:themeFill="background1" w:themeFillShade="D9"/>
            <w:vAlign w:val="center"/>
          </w:tcPr>
          <w:p w:rsidR="00682B05" w:rsidRPr="00ED5C93" w:rsidRDefault="00682B05" w:rsidP="00682B05">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Общ размер на безвъзмездната финансова помощ</w:t>
            </w:r>
          </w:p>
        </w:tc>
        <w:tc>
          <w:tcPr>
            <w:tcW w:w="3165" w:type="dxa"/>
            <w:shd w:val="clear" w:color="auto" w:fill="D9D9D9" w:themeFill="background1" w:themeFillShade="D9"/>
            <w:vAlign w:val="center"/>
          </w:tcPr>
          <w:p w:rsidR="00682B05" w:rsidRPr="00ED5C93" w:rsidRDefault="00682B05" w:rsidP="00682B05">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Средства от Европейския фонд за регионално развитие</w:t>
            </w:r>
          </w:p>
        </w:tc>
        <w:tc>
          <w:tcPr>
            <w:tcW w:w="3276" w:type="dxa"/>
            <w:shd w:val="clear" w:color="auto" w:fill="D9D9D9" w:themeFill="background1" w:themeFillShade="D9"/>
            <w:vAlign w:val="center"/>
          </w:tcPr>
          <w:p w:rsidR="00682B05" w:rsidRPr="00ED5C93" w:rsidRDefault="00682B05" w:rsidP="00682B05">
            <w:pPr>
              <w:pStyle w:val="ListParagraph"/>
              <w:spacing w:after="360"/>
              <w:ind w:left="0"/>
              <w:jc w:val="center"/>
              <w:rPr>
                <w:rFonts w:asciiTheme="minorHAnsi" w:hAnsiTheme="minorHAnsi" w:cstheme="minorHAnsi"/>
                <w:b/>
                <w:sz w:val="24"/>
                <w:szCs w:val="24"/>
              </w:rPr>
            </w:pPr>
          </w:p>
          <w:p w:rsidR="00682B05" w:rsidRPr="00ED5C93" w:rsidRDefault="00682B05" w:rsidP="00682B05">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Национално съфинансиране</w:t>
            </w:r>
          </w:p>
        </w:tc>
      </w:tr>
      <w:tr w:rsidR="00682B05" w:rsidRPr="00BD3276" w:rsidTr="00682B05">
        <w:tc>
          <w:tcPr>
            <w:tcW w:w="3165" w:type="dxa"/>
          </w:tcPr>
          <w:p w:rsidR="00682B05" w:rsidRPr="00840654" w:rsidRDefault="00682B05" w:rsidP="00937856">
            <w:pPr>
              <w:pStyle w:val="ListParagraph"/>
              <w:spacing w:after="360"/>
              <w:ind w:left="0"/>
              <w:jc w:val="center"/>
              <w:rPr>
                <w:rFonts w:asciiTheme="minorHAnsi" w:hAnsiTheme="minorHAnsi" w:cstheme="minorHAnsi"/>
                <w:sz w:val="24"/>
                <w:szCs w:val="24"/>
              </w:rPr>
            </w:pPr>
          </w:p>
          <w:p w:rsidR="00775B1B" w:rsidRPr="00840654" w:rsidRDefault="00527FBE" w:rsidP="00937856">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97 791</w:t>
            </w:r>
            <w:r w:rsidR="00840654">
              <w:rPr>
                <w:rFonts w:asciiTheme="minorHAnsi" w:hAnsiTheme="minorHAnsi" w:cstheme="minorHAnsi"/>
                <w:sz w:val="24"/>
                <w:szCs w:val="24"/>
              </w:rPr>
              <w:t> </w:t>
            </w:r>
            <w:r w:rsidRPr="00840654">
              <w:rPr>
                <w:rFonts w:asciiTheme="minorHAnsi" w:hAnsiTheme="minorHAnsi" w:cstheme="minorHAnsi"/>
                <w:sz w:val="24"/>
                <w:szCs w:val="24"/>
              </w:rPr>
              <w:t>500</w:t>
            </w:r>
            <w:r w:rsidR="00840654">
              <w:rPr>
                <w:rFonts w:asciiTheme="minorHAnsi" w:hAnsiTheme="minorHAnsi" w:cstheme="minorHAnsi"/>
                <w:sz w:val="24"/>
                <w:szCs w:val="24"/>
                <w:lang w:val="en-US"/>
              </w:rPr>
              <w:t xml:space="preserve"> </w:t>
            </w:r>
            <w:r w:rsidR="00775B1B" w:rsidRPr="00840654">
              <w:rPr>
                <w:rFonts w:asciiTheme="minorHAnsi" w:hAnsiTheme="minorHAnsi" w:cstheme="minorHAnsi"/>
                <w:sz w:val="24"/>
                <w:szCs w:val="24"/>
              </w:rPr>
              <w:t>лева</w:t>
            </w:r>
          </w:p>
          <w:p w:rsidR="00682B05" w:rsidRPr="00840654" w:rsidRDefault="00BF1BD8" w:rsidP="00937856">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5</w:t>
            </w:r>
            <w:r w:rsidR="00775B1B" w:rsidRPr="00840654">
              <w:rPr>
                <w:rFonts w:asciiTheme="minorHAnsi" w:hAnsiTheme="minorHAnsi" w:cstheme="minorHAnsi"/>
                <w:sz w:val="24"/>
                <w:szCs w:val="24"/>
              </w:rPr>
              <w:t>0 000 </w:t>
            </w:r>
            <w:proofErr w:type="spellStart"/>
            <w:r w:rsidR="00775B1B" w:rsidRPr="00840654">
              <w:rPr>
                <w:rFonts w:asciiTheme="minorHAnsi" w:hAnsiTheme="minorHAnsi" w:cstheme="minorHAnsi"/>
                <w:sz w:val="24"/>
                <w:szCs w:val="24"/>
              </w:rPr>
              <w:t>000</w:t>
            </w:r>
            <w:proofErr w:type="spellEnd"/>
            <w:r w:rsidR="00775B1B" w:rsidRPr="00840654">
              <w:rPr>
                <w:rFonts w:asciiTheme="minorHAnsi" w:hAnsiTheme="minorHAnsi" w:cstheme="minorHAnsi"/>
                <w:sz w:val="24"/>
                <w:szCs w:val="24"/>
              </w:rPr>
              <w:t xml:space="preserve"> евро</w:t>
            </w:r>
          </w:p>
          <w:p w:rsidR="00682B05" w:rsidRPr="00840654" w:rsidRDefault="00682B05" w:rsidP="00937856">
            <w:pPr>
              <w:pStyle w:val="ListParagraph"/>
              <w:spacing w:after="360"/>
              <w:ind w:left="0"/>
              <w:jc w:val="center"/>
              <w:rPr>
                <w:rFonts w:asciiTheme="minorHAnsi" w:hAnsiTheme="minorHAnsi" w:cstheme="minorHAnsi"/>
                <w:sz w:val="24"/>
                <w:szCs w:val="24"/>
              </w:rPr>
            </w:pPr>
          </w:p>
        </w:tc>
        <w:tc>
          <w:tcPr>
            <w:tcW w:w="3165" w:type="dxa"/>
          </w:tcPr>
          <w:p w:rsidR="00682B05" w:rsidRPr="00840654" w:rsidRDefault="00682B05" w:rsidP="00937856">
            <w:pPr>
              <w:pStyle w:val="ListParagraph"/>
              <w:spacing w:after="360"/>
              <w:ind w:left="0"/>
              <w:jc w:val="center"/>
              <w:rPr>
                <w:rFonts w:asciiTheme="minorHAnsi" w:hAnsiTheme="minorHAnsi" w:cstheme="minorHAnsi"/>
                <w:sz w:val="24"/>
                <w:szCs w:val="24"/>
              </w:rPr>
            </w:pPr>
          </w:p>
          <w:p w:rsidR="0002165A" w:rsidRPr="00840654" w:rsidRDefault="00527FBE" w:rsidP="00937856">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 xml:space="preserve">83 122 775 </w:t>
            </w:r>
            <w:r w:rsidR="00300307" w:rsidRPr="00840654">
              <w:rPr>
                <w:rFonts w:asciiTheme="minorHAnsi" w:hAnsiTheme="minorHAnsi" w:cstheme="minorHAnsi"/>
                <w:sz w:val="24"/>
                <w:szCs w:val="24"/>
              </w:rPr>
              <w:t xml:space="preserve"> лева</w:t>
            </w:r>
          </w:p>
          <w:p w:rsidR="0002165A" w:rsidRPr="00840654" w:rsidRDefault="00527FBE" w:rsidP="00937856">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42</w:t>
            </w:r>
            <w:r w:rsidR="0002165A" w:rsidRPr="00840654">
              <w:rPr>
                <w:rFonts w:asciiTheme="minorHAnsi" w:hAnsiTheme="minorHAnsi" w:cstheme="minorHAnsi"/>
                <w:sz w:val="24"/>
                <w:szCs w:val="24"/>
              </w:rPr>
              <w:t> 500 000 евро</w:t>
            </w:r>
          </w:p>
        </w:tc>
        <w:tc>
          <w:tcPr>
            <w:tcW w:w="3276" w:type="dxa"/>
          </w:tcPr>
          <w:p w:rsidR="00682B05" w:rsidRPr="00840654" w:rsidRDefault="00682B05" w:rsidP="00937856">
            <w:pPr>
              <w:pStyle w:val="ListParagraph"/>
              <w:spacing w:after="360"/>
              <w:ind w:left="0"/>
              <w:jc w:val="center"/>
              <w:rPr>
                <w:rFonts w:asciiTheme="minorHAnsi" w:hAnsiTheme="minorHAnsi" w:cstheme="minorHAnsi"/>
                <w:sz w:val="24"/>
                <w:szCs w:val="24"/>
              </w:rPr>
            </w:pPr>
          </w:p>
          <w:p w:rsidR="00AA51E0" w:rsidRPr="00840654" w:rsidRDefault="002E5A46" w:rsidP="00937856">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 xml:space="preserve">14 668 725 </w:t>
            </w:r>
            <w:r w:rsidR="00672695" w:rsidRPr="00840654">
              <w:rPr>
                <w:rFonts w:asciiTheme="minorHAnsi" w:hAnsiTheme="minorHAnsi" w:cstheme="minorHAnsi"/>
                <w:sz w:val="24"/>
                <w:szCs w:val="24"/>
              </w:rPr>
              <w:t xml:space="preserve"> </w:t>
            </w:r>
            <w:r w:rsidR="00937856" w:rsidRPr="00840654">
              <w:rPr>
                <w:rFonts w:asciiTheme="minorHAnsi" w:hAnsiTheme="minorHAnsi" w:cstheme="minorHAnsi"/>
                <w:sz w:val="24"/>
                <w:szCs w:val="24"/>
              </w:rPr>
              <w:t>лева</w:t>
            </w:r>
          </w:p>
          <w:p w:rsidR="0002165A" w:rsidRPr="00840654" w:rsidRDefault="002E5A46" w:rsidP="00AA51E0">
            <w:pPr>
              <w:pStyle w:val="ListParagraph"/>
              <w:spacing w:after="360"/>
              <w:ind w:left="0"/>
              <w:jc w:val="center"/>
              <w:rPr>
                <w:rFonts w:asciiTheme="minorHAnsi" w:hAnsiTheme="minorHAnsi" w:cstheme="minorHAnsi"/>
                <w:sz w:val="24"/>
                <w:szCs w:val="24"/>
              </w:rPr>
            </w:pPr>
            <w:r w:rsidRPr="00840654">
              <w:rPr>
                <w:rFonts w:asciiTheme="minorHAnsi" w:hAnsiTheme="minorHAnsi" w:cstheme="minorHAnsi"/>
                <w:sz w:val="24"/>
                <w:szCs w:val="24"/>
              </w:rPr>
              <w:t>7</w:t>
            </w:r>
            <w:r w:rsidR="0002165A" w:rsidRPr="00840654">
              <w:rPr>
                <w:rFonts w:asciiTheme="minorHAnsi" w:hAnsiTheme="minorHAnsi" w:cstheme="minorHAnsi"/>
                <w:sz w:val="24"/>
                <w:szCs w:val="24"/>
              </w:rPr>
              <w:t> 500 000 евро</w:t>
            </w:r>
          </w:p>
        </w:tc>
      </w:tr>
    </w:tbl>
    <w:p w:rsidR="00A6250C" w:rsidRPr="00BD3276" w:rsidRDefault="00EE78B1"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С</w:t>
      </w:r>
      <w:r w:rsidRPr="00EE78B1">
        <w:rPr>
          <w:sz w:val="24"/>
          <w:szCs w:val="24"/>
        </w:rPr>
        <w:t>редният годишен бюджет за държавната помощ</w:t>
      </w:r>
      <w:r>
        <w:rPr>
          <w:sz w:val="24"/>
          <w:szCs w:val="24"/>
        </w:rPr>
        <w:t xml:space="preserve">, попадаща в обхвата на чл. 14 и чл. 28, </w:t>
      </w:r>
      <w:proofErr w:type="spellStart"/>
      <w:r>
        <w:rPr>
          <w:sz w:val="24"/>
          <w:szCs w:val="24"/>
        </w:rPr>
        <w:t>пар</w:t>
      </w:r>
      <w:proofErr w:type="spellEnd"/>
      <w:r>
        <w:rPr>
          <w:sz w:val="24"/>
          <w:szCs w:val="24"/>
        </w:rPr>
        <w:t xml:space="preserve">. 4 от </w:t>
      </w:r>
      <w:r w:rsidRPr="00EE78B1">
        <w:rPr>
          <w:sz w:val="24"/>
          <w:szCs w:val="24"/>
        </w:rPr>
        <w:t xml:space="preserve">Регламент (ЕС) № 651/2014 НА КОМИСИЯТА </w:t>
      </w:r>
      <w:r w:rsidR="00420C84">
        <w:rPr>
          <w:sz w:val="24"/>
          <w:szCs w:val="24"/>
        </w:rPr>
        <w:t>не трябва</w:t>
      </w:r>
      <w:r w:rsidR="007873C9">
        <w:rPr>
          <w:sz w:val="24"/>
          <w:szCs w:val="24"/>
        </w:rPr>
        <w:t xml:space="preserve"> да </w:t>
      </w:r>
      <w:r w:rsidRPr="00EE78B1">
        <w:rPr>
          <w:sz w:val="24"/>
          <w:szCs w:val="24"/>
        </w:rPr>
        <w:t>надхвърля 150 млн. евро</w:t>
      </w:r>
      <w:r w:rsidR="007873C9">
        <w:rPr>
          <w:sz w:val="24"/>
          <w:szCs w:val="24"/>
        </w:rPr>
        <w:t>.</w:t>
      </w:r>
    </w:p>
    <w:p w:rsidR="005728C9" w:rsidRPr="00BD3276" w:rsidRDefault="005728C9"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0C3D3A" w:rsidRPr="00BD3276" w:rsidRDefault="000B1056"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eastAsia="Times New Roman" w:cstheme="minorHAnsi"/>
          <w:snapToGrid w:val="0"/>
          <w:sz w:val="24"/>
          <w:szCs w:val="24"/>
        </w:rPr>
      </w:pPr>
      <w:r>
        <w:rPr>
          <w:rFonts w:eastAsia="Times New Roman" w:cstheme="minorHAnsi"/>
          <w:snapToGrid w:val="0"/>
          <w:sz w:val="24"/>
          <w:szCs w:val="24"/>
        </w:rPr>
        <w:t>П</w:t>
      </w:r>
      <w:r w:rsidR="0075172E" w:rsidRPr="00BD3276">
        <w:rPr>
          <w:rFonts w:eastAsia="Times New Roman" w:cstheme="minorHAnsi"/>
          <w:snapToGrid w:val="0"/>
          <w:sz w:val="24"/>
          <w:szCs w:val="24"/>
        </w:rPr>
        <w:t xml:space="preserve">редвидено </w:t>
      </w:r>
      <w:r>
        <w:rPr>
          <w:rFonts w:eastAsia="Times New Roman" w:cstheme="minorHAnsi"/>
          <w:snapToGrid w:val="0"/>
          <w:sz w:val="24"/>
          <w:szCs w:val="24"/>
        </w:rPr>
        <w:t xml:space="preserve">е </w:t>
      </w:r>
      <w:r w:rsidR="0075172E" w:rsidRPr="00BD3276">
        <w:rPr>
          <w:rFonts w:eastAsia="Times New Roman" w:cstheme="minorHAnsi"/>
          <w:snapToGrid w:val="0"/>
          <w:sz w:val="24"/>
          <w:szCs w:val="24"/>
        </w:rPr>
        <w:t>следно</w:t>
      </w:r>
      <w:r w:rsidR="00AA4E8C">
        <w:rPr>
          <w:rFonts w:eastAsia="Times New Roman" w:cstheme="minorHAnsi"/>
          <w:snapToGrid w:val="0"/>
          <w:sz w:val="24"/>
          <w:szCs w:val="24"/>
        </w:rPr>
        <w:t>то разпределение на наличния</w:t>
      </w:r>
      <w:r w:rsidR="0075172E" w:rsidRPr="00BD3276">
        <w:rPr>
          <w:rFonts w:eastAsia="Times New Roman" w:cstheme="minorHAnsi"/>
          <w:snapToGrid w:val="0"/>
          <w:sz w:val="24"/>
          <w:szCs w:val="24"/>
        </w:rPr>
        <w:t xml:space="preserve"> бюджет</w:t>
      </w:r>
      <w:r w:rsidR="00AA4E8C">
        <w:rPr>
          <w:rFonts w:eastAsia="Times New Roman" w:cstheme="minorHAnsi"/>
          <w:snapToGrid w:val="0"/>
          <w:sz w:val="24"/>
          <w:szCs w:val="24"/>
        </w:rPr>
        <w:t xml:space="preserve"> </w:t>
      </w:r>
      <w:r w:rsidR="0075172E" w:rsidRPr="00BD3276">
        <w:rPr>
          <w:rFonts w:eastAsia="Times New Roman" w:cstheme="minorHAnsi"/>
          <w:snapToGrid w:val="0"/>
          <w:sz w:val="24"/>
          <w:szCs w:val="24"/>
        </w:rPr>
        <w:t>в зависимост от категорията</w:t>
      </w:r>
      <w:r w:rsidR="0075172E" w:rsidRPr="00BD3276">
        <w:rPr>
          <w:rFonts w:eastAsia="Times New Roman" w:cstheme="minorHAnsi"/>
          <w:snapToGrid w:val="0"/>
          <w:sz w:val="24"/>
          <w:szCs w:val="24"/>
          <w:vertAlign w:val="superscript"/>
        </w:rPr>
        <w:footnoteReference w:id="2"/>
      </w:r>
      <w:r w:rsidR="0075172E" w:rsidRPr="00BD3276">
        <w:rPr>
          <w:rFonts w:eastAsia="Times New Roman" w:cstheme="minorHAnsi"/>
          <w:snapToGrid w:val="0"/>
          <w:sz w:val="24"/>
          <w:szCs w:val="24"/>
        </w:rPr>
        <w:t xml:space="preserve"> на предприятието-кандидат:</w:t>
      </w:r>
    </w:p>
    <w:p w:rsidR="003F0F19" w:rsidRPr="00BD3276" w:rsidRDefault="003F0F19" w:rsidP="00F27DD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eastAsia="Times New Roman" w:cstheme="minorHAnsi"/>
          <w:snapToGrid w:val="0"/>
          <w:sz w:val="24"/>
          <w:szCs w:val="24"/>
        </w:rPr>
      </w:pPr>
    </w:p>
    <w:tbl>
      <w:tblPr>
        <w:tblStyle w:val="TableGrid"/>
        <w:tblW w:w="9606" w:type="dxa"/>
        <w:tblLook w:val="04A0" w:firstRow="1" w:lastRow="0" w:firstColumn="1" w:lastColumn="0" w:noHBand="0" w:noVBand="1"/>
      </w:tblPr>
      <w:tblGrid>
        <w:gridCol w:w="2374"/>
        <w:gridCol w:w="2374"/>
        <w:gridCol w:w="2374"/>
        <w:gridCol w:w="2484"/>
      </w:tblGrid>
      <w:tr w:rsidR="00741690" w:rsidRPr="00BD3276" w:rsidTr="005979B3">
        <w:tc>
          <w:tcPr>
            <w:tcW w:w="2374" w:type="dxa"/>
            <w:tcBorders>
              <w:tl2br w:val="single" w:sz="4" w:space="0" w:color="auto"/>
            </w:tcBorders>
            <w:shd w:val="clear" w:color="auto" w:fill="D9D9D9" w:themeFill="background1" w:themeFillShade="D9"/>
          </w:tcPr>
          <w:p w:rsidR="00741690" w:rsidRPr="00F120F6" w:rsidRDefault="00741690" w:rsidP="00F27DDE">
            <w:pPr>
              <w:pStyle w:val="ListParagraph"/>
              <w:spacing w:after="360"/>
              <w:ind w:left="0"/>
              <w:jc w:val="both"/>
              <w:rPr>
                <w:rFonts w:asciiTheme="minorHAnsi" w:hAnsiTheme="minorHAnsi" w:cstheme="minorHAnsi"/>
                <w:snapToGrid w:val="0"/>
                <w:sz w:val="24"/>
                <w:szCs w:val="24"/>
              </w:rPr>
            </w:pPr>
          </w:p>
        </w:tc>
        <w:tc>
          <w:tcPr>
            <w:tcW w:w="2374" w:type="dxa"/>
            <w:shd w:val="clear" w:color="auto" w:fill="D9D9D9" w:themeFill="background1" w:themeFillShade="D9"/>
            <w:vAlign w:val="center"/>
          </w:tcPr>
          <w:p w:rsidR="00741690" w:rsidRPr="00607CA4" w:rsidRDefault="00741690" w:rsidP="0013447B">
            <w:pPr>
              <w:pStyle w:val="ListParagraph"/>
              <w:spacing w:after="360"/>
              <w:ind w:left="0"/>
              <w:jc w:val="center"/>
              <w:rPr>
                <w:rFonts w:asciiTheme="minorHAnsi" w:hAnsiTheme="minorHAnsi" w:cstheme="minorHAnsi"/>
                <w:snapToGrid w:val="0"/>
                <w:sz w:val="24"/>
                <w:szCs w:val="24"/>
              </w:rPr>
            </w:pPr>
            <w:r w:rsidRPr="00607CA4">
              <w:rPr>
                <w:rFonts w:asciiTheme="minorHAnsi" w:hAnsiTheme="minorHAnsi" w:cstheme="minorHAnsi"/>
                <w:b/>
                <w:sz w:val="24"/>
                <w:szCs w:val="24"/>
              </w:rPr>
              <w:t>Микро</w:t>
            </w:r>
            <w:r w:rsidR="009275AC" w:rsidRPr="00607CA4">
              <w:rPr>
                <w:rFonts w:asciiTheme="minorHAnsi" w:hAnsiTheme="minorHAnsi" w:cstheme="minorHAnsi"/>
                <w:b/>
                <w:sz w:val="24"/>
                <w:szCs w:val="24"/>
              </w:rPr>
              <w:t xml:space="preserve"> и малки</w:t>
            </w:r>
            <w:r w:rsidRPr="00607CA4">
              <w:rPr>
                <w:rFonts w:asciiTheme="minorHAnsi" w:hAnsiTheme="minorHAnsi" w:cstheme="minorHAnsi"/>
                <w:b/>
                <w:sz w:val="24"/>
                <w:szCs w:val="24"/>
              </w:rPr>
              <w:t xml:space="preserve"> предприятия</w:t>
            </w:r>
            <w:r w:rsidR="005D472C" w:rsidRPr="00607CA4">
              <w:rPr>
                <w:rFonts w:asciiTheme="minorHAnsi" w:hAnsiTheme="minorHAnsi" w:cstheme="minorHAnsi"/>
                <w:b/>
                <w:sz w:val="24"/>
                <w:szCs w:val="24"/>
              </w:rPr>
              <w:t xml:space="preserve"> </w:t>
            </w:r>
          </w:p>
        </w:tc>
        <w:tc>
          <w:tcPr>
            <w:tcW w:w="2374" w:type="dxa"/>
            <w:shd w:val="clear" w:color="auto" w:fill="D9D9D9" w:themeFill="background1" w:themeFillShade="D9"/>
            <w:vAlign w:val="center"/>
          </w:tcPr>
          <w:p w:rsidR="00741690" w:rsidRPr="00607CA4" w:rsidRDefault="009275AC" w:rsidP="0013447B">
            <w:pPr>
              <w:pStyle w:val="ListParagraph"/>
              <w:spacing w:after="360"/>
              <w:ind w:left="0"/>
              <w:jc w:val="center"/>
              <w:rPr>
                <w:rFonts w:asciiTheme="minorHAnsi" w:hAnsiTheme="minorHAnsi" w:cstheme="minorHAnsi"/>
                <w:snapToGrid w:val="0"/>
                <w:sz w:val="24"/>
                <w:szCs w:val="24"/>
              </w:rPr>
            </w:pPr>
            <w:r w:rsidRPr="00607CA4">
              <w:rPr>
                <w:rFonts w:asciiTheme="minorHAnsi" w:hAnsiTheme="minorHAnsi" w:cstheme="minorHAnsi"/>
                <w:b/>
                <w:sz w:val="24"/>
                <w:szCs w:val="24"/>
              </w:rPr>
              <w:t>Средни</w:t>
            </w:r>
            <w:r w:rsidR="00741690" w:rsidRPr="00607CA4">
              <w:rPr>
                <w:rFonts w:asciiTheme="minorHAnsi" w:hAnsiTheme="minorHAnsi" w:cstheme="minorHAnsi"/>
                <w:b/>
                <w:sz w:val="24"/>
                <w:szCs w:val="24"/>
              </w:rPr>
              <w:t xml:space="preserve"> предприятия</w:t>
            </w:r>
            <w:r w:rsidR="005D472C" w:rsidRPr="00607CA4">
              <w:rPr>
                <w:rFonts w:asciiTheme="minorHAnsi" w:hAnsiTheme="minorHAnsi" w:cstheme="minorHAnsi"/>
                <w:b/>
                <w:sz w:val="24"/>
                <w:szCs w:val="24"/>
              </w:rPr>
              <w:t xml:space="preserve"> </w:t>
            </w:r>
          </w:p>
        </w:tc>
        <w:tc>
          <w:tcPr>
            <w:tcW w:w="2484" w:type="dxa"/>
            <w:shd w:val="clear" w:color="auto" w:fill="D9D9D9" w:themeFill="background1" w:themeFillShade="D9"/>
            <w:vAlign w:val="center"/>
          </w:tcPr>
          <w:p w:rsidR="005979B3" w:rsidRPr="00607CA4" w:rsidRDefault="005979B3" w:rsidP="005979B3">
            <w:pPr>
              <w:pStyle w:val="ListParagraph"/>
              <w:spacing w:after="360"/>
              <w:ind w:left="0"/>
              <w:jc w:val="center"/>
              <w:rPr>
                <w:rFonts w:asciiTheme="minorHAnsi" w:hAnsiTheme="minorHAnsi" w:cstheme="minorHAnsi"/>
                <w:b/>
                <w:sz w:val="24"/>
                <w:szCs w:val="24"/>
              </w:rPr>
            </w:pPr>
          </w:p>
          <w:p w:rsidR="00741690" w:rsidRPr="00607CA4" w:rsidRDefault="009275AC" w:rsidP="0013447B">
            <w:pPr>
              <w:pStyle w:val="ListParagraph"/>
              <w:spacing w:after="240"/>
              <w:ind w:left="0"/>
              <w:jc w:val="center"/>
              <w:rPr>
                <w:rFonts w:asciiTheme="minorHAnsi" w:hAnsiTheme="minorHAnsi" w:cstheme="minorHAnsi"/>
                <w:snapToGrid w:val="0"/>
                <w:sz w:val="24"/>
                <w:szCs w:val="24"/>
              </w:rPr>
            </w:pPr>
            <w:r w:rsidRPr="00607CA4">
              <w:rPr>
                <w:rFonts w:asciiTheme="minorHAnsi" w:hAnsiTheme="minorHAnsi" w:cstheme="minorHAnsi"/>
                <w:b/>
                <w:sz w:val="24"/>
                <w:szCs w:val="24"/>
              </w:rPr>
              <w:t>Големи</w:t>
            </w:r>
            <w:r w:rsidR="00741690" w:rsidRPr="00607CA4">
              <w:rPr>
                <w:rFonts w:asciiTheme="minorHAnsi" w:hAnsiTheme="minorHAnsi" w:cstheme="minorHAnsi"/>
                <w:b/>
                <w:sz w:val="24"/>
                <w:szCs w:val="24"/>
              </w:rPr>
              <w:t xml:space="preserve"> предприятия</w:t>
            </w:r>
            <w:r w:rsidR="005D472C" w:rsidRPr="00607CA4">
              <w:rPr>
                <w:rFonts w:asciiTheme="minorHAnsi" w:hAnsiTheme="minorHAnsi" w:cstheme="minorHAnsi"/>
                <w:b/>
                <w:sz w:val="24"/>
                <w:szCs w:val="24"/>
              </w:rPr>
              <w:t xml:space="preserve"> </w:t>
            </w:r>
          </w:p>
        </w:tc>
      </w:tr>
      <w:tr w:rsidR="00741690" w:rsidRPr="00BD3276" w:rsidTr="00535D21">
        <w:tc>
          <w:tcPr>
            <w:tcW w:w="2374" w:type="dxa"/>
            <w:shd w:val="clear" w:color="auto" w:fill="D9D9D9" w:themeFill="background1" w:themeFillShade="D9"/>
          </w:tcPr>
          <w:p w:rsidR="00741690" w:rsidRPr="00607CA4" w:rsidRDefault="00FC6893" w:rsidP="00607CA4">
            <w:pPr>
              <w:pStyle w:val="ListParagraph"/>
              <w:spacing w:after="360"/>
              <w:ind w:left="0"/>
              <w:jc w:val="center"/>
              <w:rPr>
                <w:rFonts w:asciiTheme="minorHAnsi" w:hAnsiTheme="minorHAnsi" w:cstheme="minorHAnsi"/>
                <w:snapToGrid w:val="0"/>
                <w:sz w:val="24"/>
                <w:szCs w:val="24"/>
              </w:rPr>
            </w:pPr>
            <w:r w:rsidRPr="00607CA4">
              <w:rPr>
                <w:rFonts w:asciiTheme="minorHAnsi" w:hAnsiTheme="minorHAnsi" w:cstheme="minorHAnsi"/>
                <w:b/>
                <w:sz w:val="24"/>
                <w:szCs w:val="24"/>
              </w:rPr>
              <w:t>Средства</w:t>
            </w:r>
          </w:p>
        </w:tc>
        <w:tc>
          <w:tcPr>
            <w:tcW w:w="2374" w:type="dxa"/>
            <w:vAlign w:val="center"/>
          </w:tcPr>
          <w:p w:rsidR="00876249" w:rsidRPr="00F120F6" w:rsidRDefault="0055740B" w:rsidP="00535D21">
            <w:pPr>
              <w:pStyle w:val="ListParagraph"/>
              <w:spacing w:after="360"/>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29 337 450</w:t>
            </w:r>
            <w:r w:rsidR="00337CF1" w:rsidRPr="00F120F6">
              <w:rPr>
                <w:rFonts w:asciiTheme="minorHAnsi" w:hAnsiTheme="minorHAnsi" w:cstheme="minorHAnsi"/>
                <w:snapToGrid w:val="0"/>
                <w:sz w:val="24"/>
                <w:szCs w:val="24"/>
              </w:rPr>
              <w:t xml:space="preserve"> лева</w:t>
            </w:r>
          </w:p>
          <w:p w:rsidR="00741690" w:rsidRPr="00F120F6" w:rsidRDefault="00694CFE" w:rsidP="00535D21">
            <w:pPr>
              <w:pStyle w:val="ListParagraph"/>
              <w:spacing w:after="360"/>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15</w:t>
            </w:r>
            <w:r w:rsidR="003A1353" w:rsidRPr="00F120F6">
              <w:rPr>
                <w:rFonts w:asciiTheme="minorHAnsi" w:hAnsiTheme="minorHAnsi" w:cstheme="minorHAnsi"/>
                <w:snapToGrid w:val="0"/>
                <w:sz w:val="24"/>
                <w:szCs w:val="24"/>
              </w:rPr>
              <w:t xml:space="preserve"> 0</w:t>
            </w:r>
            <w:r w:rsidR="00A939A4" w:rsidRPr="00F120F6">
              <w:rPr>
                <w:rFonts w:asciiTheme="minorHAnsi" w:hAnsiTheme="minorHAnsi" w:cstheme="minorHAnsi"/>
                <w:snapToGrid w:val="0"/>
                <w:sz w:val="24"/>
                <w:szCs w:val="24"/>
              </w:rPr>
              <w:t xml:space="preserve">00 </w:t>
            </w:r>
            <w:proofErr w:type="spellStart"/>
            <w:r w:rsidR="00A939A4" w:rsidRPr="00F120F6">
              <w:rPr>
                <w:rFonts w:asciiTheme="minorHAnsi" w:hAnsiTheme="minorHAnsi" w:cstheme="minorHAnsi"/>
                <w:snapToGrid w:val="0"/>
                <w:sz w:val="24"/>
                <w:szCs w:val="24"/>
              </w:rPr>
              <w:t>000</w:t>
            </w:r>
            <w:proofErr w:type="spellEnd"/>
            <w:r w:rsidR="00535D21" w:rsidRPr="00F120F6">
              <w:rPr>
                <w:rFonts w:asciiTheme="minorHAnsi" w:hAnsiTheme="minorHAnsi" w:cstheme="minorHAnsi"/>
                <w:snapToGrid w:val="0"/>
                <w:sz w:val="24"/>
                <w:szCs w:val="24"/>
              </w:rPr>
              <w:t xml:space="preserve"> евро</w:t>
            </w:r>
          </w:p>
        </w:tc>
        <w:tc>
          <w:tcPr>
            <w:tcW w:w="2374" w:type="dxa"/>
            <w:vAlign w:val="center"/>
          </w:tcPr>
          <w:p w:rsidR="00876249" w:rsidRPr="00F120F6" w:rsidRDefault="00694CFE" w:rsidP="00535D21">
            <w:pPr>
              <w:pStyle w:val="ListParagraph"/>
              <w:spacing w:after="360"/>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29 337 450</w:t>
            </w:r>
            <w:r w:rsidR="00AC528F" w:rsidRPr="00F120F6">
              <w:rPr>
                <w:rFonts w:asciiTheme="minorHAnsi" w:hAnsiTheme="minorHAnsi" w:cstheme="minorHAnsi"/>
                <w:snapToGrid w:val="0"/>
                <w:sz w:val="24"/>
                <w:szCs w:val="24"/>
              </w:rPr>
              <w:t xml:space="preserve"> </w:t>
            </w:r>
            <w:r w:rsidR="00EE0BAE" w:rsidRPr="00F120F6">
              <w:rPr>
                <w:rFonts w:asciiTheme="minorHAnsi" w:hAnsiTheme="minorHAnsi" w:cstheme="minorHAnsi"/>
                <w:snapToGrid w:val="0"/>
                <w:sz w:val="24"/>
                <w:szCs w:val="24"/>
              </w:rPr>
              <w:t xml:space="preserve"> </w:t>
            </w:r>
            <w:r w:rsidR="00252D21" w:rsidRPr="00F120F6">
              <w:rPr>
                <w:rFonts w:asciiTheme="minorHAnsi" w:hAnsiTheme="minorHAnsi" w:cstheme="minorHAnsi"/>
                <w:snapToGrid w:val="0"/>
                <w:sz w:val="24"/>
                <w:szCs w:val="24"/>
              </w:rPr>
              <w:t>лева</w:t>
            </w:r>
          </w:p>
          <w:p w:rsidR="00741690" w:rsidRPr="00F120F6" w:rsidRDefault="00694CFE" w:rsidP="00535D21">
            <w:pPr>
              <w:pStyle w:val="ListParagraph"/>
              <w:spacing w:after="360"/>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15</w:t>
            </w:r>
            <w:r w:rsidR="003A1353" w:rsidRPr="00F120F6">
              <w:rPr>
                <w:rFonts w:asciiTheme="minorHAnsi" w:hAnsiTheme="minorHAnsi" w:cstheme="minorHAnsi"/>
                <w:snapToGrid w:val="0"/>
                <w:sz w:val="24"/>
                <w:szCs w:val="24"/>
              </w:rPr>
              <w:t xml:space="preserve"> 0</w:t>
            </w:r>
            <w:r w:rsidR="00A939A4" w:rsidRPr="00F120F6">
              <w:rPr>
                <w:rFonts w:asciiTheme="minorHAnsi" w:hAnsiTheme="minorHAnsi" w:cstheme="minorHAnsi"/>
                <w:snapToGrid w:val="0"/>
                <w:sz w:val="24"/>
                <w:szCs w:val="24"/>
              </w:rPr>
              <w:t xml:space="preserve">00 </w:t>
            </w:r>
            <w:proofErr w:type="spellStart"/>
            <w:r w:rsidR="00A939A4" w:rsidRPr="00F120F6">
              <w:rPr>
                <w:rFonts w:asciiTheme="minorHAnsi" w:hAnsiTheme="minorHAnsi" w:cstheme="minorHAnsi"/>
                <w:snapToGrid w:val="0"/>
                <w:sz w:val="24"/>
                <w:szCs w:val="24"/>
              </w:rPr>
              <w:t>000</w:t>
            </w:r>
            <w:proofErr w:type="spellEnd"/>
            <w:r w:rsidR="00131FBC" w:rsidRPr="00F120F6">
              <w:rPr>
                <w:rFonts w:asciiTheme="minorHAnsi" w:hAnsiTheme="minorHAnsi" w:cstheme="minorHAnsi"/>
                <w:snapToGrid w:val="0"/>
                <w:sz w:val="24"/>
                <w:szCs w:val="24"/>
              </w:rPr>
              <w:t xml:space="preserve"> евро</w:t>
            </w:r>
          </w:p>
        </w:tc>
        <w:tc>
          <w:tcPr>
            <w:tcW w:w="2484" w:type="dxa"/>
            <w:vAlign w:val="center"/>
          </w:tcPr>
          <w:p w:rsidR="00876249" w:rsidRPr="00F120F6" w:rsidRDefault="00187E08" w:rsidP="00C27A64">
            <w:pPr>
              <w:pStyle w:val="ListParagraph"/>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39 116 600</w:t>
            </w:r>
            <w:r w:rsidR="00AC528F" w:rsidRPr="00F120F6">
              <w:rPr>
                <w:rFonts w:asciiTheme="minorHAnsi" w:hAnsiTheme="minorHAnsi" w:cstheme="minorHAnsi"/>
                <w:snapToGrid w:val="0"/>
                <w:sz w:val="24"/>
                <w:szCs w:val="24"/>
              </w:rPr>
              <w:t xml:space="preserve"> </w:t>
            </w:r>
            <w:r w:rsidR="00252D21" w:rsidRPr="00F120F6">
              <w:rPr>
                <w:rFonts w:asciiTheme="minorHAnsi" w:hAnsiTheme="minorHAnsi" w:cstheme="minorHAnsi"/>
                <w:snapToGrid w:val="0"/>
                <w:sz w:val="24"/>
                <w:szCs w:val="24"/>
              </w:rPr>
              <w:t xml:space="preserve"> лева</w:t>
            </w:r>
          </w:p>
          <w:p w:rsidR="00741690" w:rsidRPr="00F120F6" w:rsidRDefault="003A1353" w:rsidP="00C27A64">
            <w:pPr>
              <w:pStyle w:val="ListParagraph"/>
              <w:ind w:left="0"/>
              <w:jc w:val="center"/>
              <w:rPr>
                <w:rFonts w:asciiTheme="minorHAnsi" w:hAnsiTheme="minorHAnsi" w:cstheme="minorHAnsi"/>
                <w:snapToGrid w:val="0"/>
                <w:sz w:val="24"/>
                <w:szCs w:val="24"/>
              </w:rPr>
            </w:pPr>
            <w:r w:rsidRPr="00F120F6">
              <w:rPr>
                <w:rFonts w:asciiTheme="minorHAnsi" w:hAnsiTheme="minorHAnsi" w:cstheme="minorHAnsi"/>
                <w:snapToGrid w:val="0"/>
                <w:sz w:val="24"/>
                <w:szCs w:val="24"/>
              </w:rPr>
              <w:t>20</w:t>
            </w:r>
            <w:r w:rsidR="00A939A4" w:rsidRPr="00F120F6">
              <w:rPr>
                <w:rFonts w:asciiTheme="minorHAnsi" w:hAnsiTheme="minorHAnsi" w:cstheme="minorHAnsi"/>
                <w:snapToGrid w:val="0"/>
                <w:sz w:val="24"/>
                <w:szCs w:val="24"/>
              </w:rPr>
              <w:t xml:space="preserve"> 000 </w:t>
            </w:r>
            <w:proofErr w:type="spellStart"/>
            <w:r w:rsidR="00A939A4" w:rsidRPr="00F120F6">
              <w:rPr>
                <w:rFonts w:asciiTheme="minorHAnsi" w:hAnsiTheme="minorHAnsi" w:cstheme="minorHAnsi"/>
                <w:snapToGrid w:val="0"/>
                <w:sz w:val="24"/>
                <w:szCs w:val="24"/>
              </w:rPr>
              <w:t>000</w:t>
            </w:r>
            <w:proofErr w:type="spellEnd"/>
            <w:r w:rsidR="00131FBC" w:rsidRPr="00F120F6">
              <w:rPr>
                <w:rFonts w:asciiTheme="minorHAnsi" w:hAnsiTheme="minorHAnsi" w:cstheme="minorHAnsi"/>
                <w:snapToGrid w:val="0"/>
                <w:sz w:val="24"/>
                <w:szCs w:val="24"/>
              </w:rPr>
              <w:t xml:space="preserve"> евро</w:t>
            </w:r>
          </w:p>
        </w:tc>
      </w:tr>
    </w:tbl>
    <w:p w:rsidR="002325A3" w:rsidRPr="00BD3276" w:rsidRDefault="002325A3" w:rsidP="002325A3">
      <w:pPr>
        <w:pStyle w:val="ListParagraph"/>
        <w:spacing w:after="360" w:line="240" w:lineRule="auto"/>
        <w:ind w:left="0"/>
        <w:jc w:val="both"/>
        <w:rPr>
          <w:b/>
          <w:sz w:val="24"/>
          <w:szCs w:val="24"/>
        </w:rPr>
      </w:pPr>
      <w:r w:rsidRPr="00BD3276">
        <w:rPr>
          <w:b/>
          <w:sz w:val="24"/>
          <w:szCs w:val="24"/>
        </w:rPr>
        <w:t xml:space="preserve">   </w:t>
      </w:r>
    </w:p>
    <w:p w:rsidR="00BA2E00" w:rsidRPr="00BD3276" w:rsidRDefault="004A58E5" w:rsidP="00707733">
      <w:pPr>
        <w:pStyle w:val="Heading2"/>
        <w:spacing w:before="0" w:after="120"/>
      </w:pPr>
      <w:bookmarkStart w:id="10" w:name="_Toc418791441"/>
      <w:r w:rsidRPr="00BD3276">
        <w:t>9</w:t>
      </w:r>
      <w:r w:rsidR="002325A3" w:rsidRPr="00BD3276">
        <w:t xml:space="preserve">. </w:t>
      </w:r>
      <w:r w:rsidR="00BA2E00" w:rsidRPr="00BD3276">
        <w:t>Минимален и максимален размер на безвъзмездната финансова помощ за конкретен проект:</w:t>
      </w:r>
      <w:bookmarkEnd w:id="10"/>
    </w:p>
    <w:p w:rsidR="00402F8C" w:rsidRDefault="00402F8C" w:rsidP="0070773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 xml:space="preserve">Минимален размер на </w:t>
      </w:r>
      <w:r w:rsidR="00043EE5" w:rsidRPr="00BD3276">
        <w:rPr>
          <w:sz w:val="24"/>
          <w:szCs w:val="24"/>
        </w:rPr>
        <w:t xml:space="preserve">заявената </w:t>
      </w:r>
      <w:r w:rsidRPr="00BD3276">
        <w:rPr>
          <w:sz w:val="24"/>
          <w:szCs w:val="24"/>
        </w:rPr>
        <w:t>безвъзмездна финансова помощ</w:t>
      </w:r>
      <w:r w:rsidR="00A91D54" w:rsidRPr="00BD3276">
        <w:t xml:space="preserve"> </w:t>
      </w:r>
      <w:r w:rsidR="00A91D54" w:rsidRPr="00BD3276">
        <w:rPr>
          <w:sz w:val="24"/>
          <w:szCs w:val="24"/>
        </w:rPr>
        <w:t>в зависимост от катего</w:t>
      </w:r>
      <w:r w:rsidR="00186246" w:rsidRPr="00BD3276">
        <w:rPr>
          <w:sz w:val="24"/>
          <w:szCs w:val="24"/>
        </w:rPr>
        <w:t>рията на предприятието-кандидат</w:t>
      </w:r>
      <w:r w:rsidRPr="00BD3276">
        <w:rPr>
          <w:sz w:val="24"/>
          <w:szCs w:val="24"/>
        </w:rPr>
        <w:t>:</w:t>
      </w:r>
    </w:p>
    <w:p w:rsidR="00665615" w:rsidRPr="00BD3276" w:rsidRDefault="00665615" w:rsidP="0070773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tbl>
      <w:tblPr>
        <w:tblStyle w:val="TableGrid"/>
        <w:tblW w:w="9606" w:type="dxa"/>
        <w:tblLook w:val="04A0" w:firstRow="1" w:lastRow="0" w:firstColumn="1" w:lastColumn="0" w:noHBand="0" w:noVBand="1"/>
      </w:tblPr>
      <w:tblGrid>
        <w:gridCol w:w="4644"/>
        <w:gridCol w:w="4962"/>
      </w:tblGrid>
      <w:tr w:rsidR="00665615" w:rsidRPr="00BD3276" w:rsidTr="001D5B9A">
        <w:trPr>
          <w:trHeight w:val="285"/>
        </w:trPr>
        <w:tc>
          <w:tcPr>
            <w:tcW w:w="4644" w:type="dxa"/>
            <w:shd w:val="clear" w:color="auto" w:fill="D9D9D9" w:themeFill="background1" w:themeFillShade="D9"/>
            <w:vAlign w:val="center"/>
          </w:tcPr>
          <w:p w:rsidR="00665615" w:rsidRPr="00607CA4" w:rsidRDefault="00E55705" w:rsidP="00E55705">
            <w:pPr>
              <w:pStyle w:val="ListParagraph"/>
              <w:spacing w:after="360"/>
              <w:ind w:left="0"/>
              <w:jc w:val="center"/>
              <w:rPr>
                <w:rFonts w:asciiTheme="minorHAnsi" w:hAnsiTheme="minorHAnsi" w:cstheme="minorHAnsi"/>
                <w:b/>
                <w:sz w:val="24"/>
                <w:szCs w:val="24"/>
              </w:rPr>
            </w:pPr>
            <w:r w:rsidRPr="00607CA4">
              <w:rPr>
                <w:rFonts w:asciiTheme="minorHAnsi" w:hAnsiTheme="minorHAnsi" w:cstheme="minorHAnsi"/>
                <w:b/>
                <w:sz w:val="24"/>
                <w:szCs w:val="24"/>
              </w:rPr>
              <w:t>Категория на предприятието</w:t>
            </w:r>
          </w:p>
        </w:tc>
        <w:tc>
          <w:tcPr>
            <w:tcW w:w="4962" w:type="dxa"/>
            <w:shd w:val="clear" w:color="auto" w:fill="D9D9D9" w:themeFill="background1" w:themeFillShade="D9"/>
            <w:vAlign w:val="center"/>
          </w:tcPr>
          <w:p w:rsidR="00665615" w:rsidRPr="00607CA4" w:rsidRDefault="00665615" w:rsidP="001D5B9A">
            <w:pPr>
              <w:pStyle w:val="ListParagraph"/>
              <w:spacing w:after="360"/>
              <w:ind w:left="0"/>
              <w:jc w:val="center"/>
              <w:rPr>
                <w:rFonts w:asciiTheme="minorHAnsi" w:hAnsiTheme="minorHAnsi" w:cstheme="minorHAnsi"/>
                <w:b/>
                <w:sz w:val="24"/>
                <w:szCs w:val="24"/>
              </w:rPr>
            </w:pPr>
          </w:p>
          <w:p w:rsidR="00665615" w:rsidRPr="00607CA4" w:rsidRDefault="00B732DF" w:rsidP="001D5B9A">
            <w:pPr>
              <w:pStyle w:val="ListParagraph"/>
              <w:spacing w:after="360"/>
              <w:ind w:left="0"/>
              <w:jc w:val="center"/>
              <w:rPr>
                <w:rFonts w:asciiTheme="minorHAnsi" w:hAnsiTheme="minorHAnsi" w:cstheme="minorHAnsi"/>
                <w:b/>
                <w:sz w:val="24"/>
                <w:szCs w:val="24"/>
              </w:rPr>
            </w:pPr>
            <w:r w:rsidRPr="00607CA4">
              <w:rPr>
                <w:rFonts w:asciiTheme="minorHAnsi" w:hAnsiTheme="minorHAnsi" w:cstheme="minorHAnsi"/>
                <w:b/>
                <w:sz w:val="24"/>
                <w:szCs w:val="24"/>
              </w:rPr>
              <w:t>Минимален размер на заявената безвъзмездна финансова помощ</w:t>
            </w:r>
          </w:p>
        </w:tc>
      </w:tr>
      <w:tr w:rsidR="00665615" w:rsidRPr="00BD3276" w:rsidTr="00B732DF">
        <w:tc>
          <w:tcPr>
            <w:tcW w:w="4644" w:type="dxa"/>
            <w:vAlign w:val="center"/>
          </w:tcPr>
          <w:p w:rsidR="00B732DF" w:rsidRPr="00D004E5" w:rsidRDefault="00B732DF" w:rsidP="00D004E5">
            <w:pPr>
              <w:pStyle w:val="ListParagraph"/>
              <w:spacing w:after="360"/>
              <w:ind w:left="0"/>
              <w:jc w:val="center"/>
              <w:rPr>
                <w:rFonts w:asciiTheme="minorHAnsi" w:hAnsiTheme="minorHAnsi" w:cstheme="minorHAnsi"/>
                <w:sz w:val="24"/>
                <w:szCs w:val="24"/>
                <w:lang w:val="en-US"/>
              </w:rPr>
            </w:pPr>
            <w:r w:rsidRPr="00F120F6">
              <w:rPr>
                <w:rFonts w:asciiTheme="minorHAnsi" w:hAnsiTheme="minorHAnsi" w:cstheme="minorHAnsi"/>
                <w:sz w:val="24"/>
                <w:szCs w:val="24"/>
              </w:rPr>
              <w:lastRenderedPageBreak/>
              <w:t>Микро, малки, средни и големи предприятия</w:t>
            </w:r>
          </w:p>
        </w:tc>
        <w:tc>
          <w:tcPr>
            <w:tcW w:w="4962" w:type="dxa"/>
            <w:vAlign w:val="center"/>
          </w:tcPr>
          <w:p w:rsidR="00665615" w:rsidRPr="00D004E5" w:rsidRDefault="00D004E5" w:rsidP="00D004E5">
            <w:pPr>
              <w:pStyle w:val="ListParagraph"/>
              <w:spacing w:after="360"/>
              <w:ind w:left="0"/>
              <w:jc w:val="center"/>
              <w:rPr>
                <w:rFonts w:asciiTheme="minorHAnsi" w:hAnsiTheme="minorHAnsi" w:cstheme="minorHAnsi"/>
                <w:sz w:val="24"/>
                <w:szCs w:val="24"/>
                <w:lang w:val="en-US"/>
              </w:rPr>
            </w:pPr>
            <w:r w:rsidRPr="00F120F6">
              <w:rPr>
                <w:rFonts w:asciiTheme="minorHAnsi" w:hAnsiTheme="minorHAnsi" w:cstheme="minorHAnsi"/>
                <w:sz w:val="24"/>
                <w:szCs w:val="24"/>
              </w:rPr>
              <w:t>100 000 лева</w:t>
            </w:r>
          </w:p>
        </w:tc>
      </w:tr>
    </w:tbl>
    <w:p w:rsidR="00665615" w:rsidRDefault="00665615" w:rsidP="00665615">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p>
    <w:p w:rsidR="002B53D9" w:rsidRPr="006C56CB" w:rsidRDefault="006C56CB" w:rsidP="002B53D9">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sidRPr="006C56CB">
        <w:rPr>
          <w:b/>
          <w:sz w:val="24"/>
          <w:szCs w:val="24"/>
        </w:rPr>
        <w:t>ВАЖНО:</w:t>
      </w:r>
      <w:r w:rsidRPr="006C56CB">
        <w:rPr>
          <w:sz w:val="24"/>
          <w:szCs w:val="24"/>
        </w:rPr>
        <w:t xml:space="preserve"> </w:t>
      </w:r>
      <w:r w:rsidR="002B53D9" w:rsidRPr="006C56CB">
        <w:rPr>
          <w:sz w:val="24"/>
          <w:szCs w:val="24"/>
        </w:rPr>
        <w:t xml:space="preserve">За предприятията от Югозападен район, които са избрали по Елемент А „Инвестиции“ режим Регионална инвестиционна помощ съгласно чл. 13 и чл. 14 от Регламент (ЕС) № 651/2014 и не са предвидили разходи по Елемент Б „Услуги“, минималният размер на </w:t>
      </w:r>
      <w:r w:rsidR="002B53D9" w:rsidRPr="00DD2624">
        <w:rPr>
          <w:sz w:val="24"/>
          <w:szCs w:val="24"/>
        </w:rPr>
        <w:t xml:space="preserve">помощта е </w:t>
      </w:r>
      <w:r w:rsidR="002B53D9" w:rsidRPr="00985B44">
        <w:rPr>
          <w:b/>
          <w:sz w:val="24"/>
          <w:szCs w:val="24"/>
        </w:rPr>
        <w:t>57 500 лв</w:t>
      </w:r>
      <w:r w:rsidR="00FA4402" w:rsidRPr="00985B44">
        <w:rPr>
          <w:b/>
          <w:sz w:val="24"/>
          <w:szCs w:val="24"/>
        </w:rPr>
        <w:t>.</w:t>
      </w:r>
    </w:p>
    <w:p w:rsidR="00420F8D" w:rsidRDefault="00420F8D" w:rsidP="00402F8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Максимален размер на</w:t>
      </w:r>
      <w:r w:rsidR="00043EE5" w:rsidRPr="00BD3276">
        <w:rPr>
          <w:sz w:val="24"/>
          <w:szCs w:val="24"/>
        </w:rPr>
        <w:t xml:space="preserve"> заявената</w:t>
      </w:r>
      <w:r w:rsidRPr="00BD3276">
        <w:rPr>
          <w:sz w:val="24"/>
          <w:szCs w:val="24"/>
        </w:rPr>
        <w:t xml:space="preserve"> безвъзмездна финансова помощ</w:t>
      </w:r>
      <w:r w:rsidR="00025472">
        <w:rPr>
          <w:sz w:val="24"/>
          <w:szCs w:val="24"/>
        </w:rPr>
        <w:t xml:space="preserve"> за предприятията </w:t>
      </w:r>
      <w:r w:rsidR="00A91D54" w:rsidRPr="00BD3276">
        <w:rPr>
          <w:sz w:val="24"/>
          <w:szCs w:val="24"/>
        </w:rPr>
        <w:t>в зависимост от категорията на предприятието-кандидат:</w:t>
      </w:r>
    </w:p>
    <w:p w:rsidR="00B277B6" w:rsidRPr="00BD3276" w:rsidRDefault="00B277B6" w:rsidP="00402F8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C1596C" w:rsidRDefault="00C1596C" w:rsidP="00420F8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tbl>
      <w:tblPr>
        <w:tblStyle w:val="TableGrid"/>
        <w:tblW w:w="9606" w:type="dxa"/>
        <w:tblLook w:val="04A0" w:firstRow="1" w:lastRow="0" w:firstColumn="1" w:lastColumn="0" w:noHBand="0" w:noVBand="1"/>
      </w:tblPr>
      <w:tblGrid>
        <w:gridCol w:w="4928"/>
        <w:gridCol w:w="4678"/>
      </w:tblGrid>
      <w:tr w:rsidR="00C15169" w:rsidRPr="00BD3276" w:rsidTr="003D63A5">
        <w:trPr>
          <w:trHeight w:val="285"/>
        </w:trPr>
        <w:tc>
          <w:tcPr>
            <w:tcW w:w="4928" w:type="dxa"/>
            <w:shd w:val="clear" w:color="auto" w:fill="D9D9D9" w:themeFill="background1" w:themeFillShade="D9"/>
            <w:vAlign w:val="center"/>
          </w:tcPr>
          <w:p w:rsidR="00C15169" w:rsidRPr="00ED5C93" w:rsidRDefault="00C15169" w:rsidP="00D80454">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 xml:space="preserve">Микро, малки и средни предприятия </w:t>
            </w:r>
          </w:p>
          <w:p w:rsidR="00C15169" w:rsidRPr="00ED5C93" w:rsidRDefault="00C15169" w:rsidP="00D80454">
            <w:pPr>
              <w:pStyle w:val="ListParagraph"/>
              <w:spacing w:after="360"/>
              <w:ind w:left="0"/>
              <w:jc w:val="center"/>
              <w:rPr>
                <w:rFonts w:asciiTheme="minorHAnsi" w:hAnsiTheme="minorHAnsi" w:cstheme="minorHAnsi"/>
                <w:b/>
                <w:sz w:val="24"/>
                <w:szCs w:val="24"/>
              </w:rPr>
            </w:pPr>
          </w:p>
        </w:tc>
        <w:tc>
          <w:tcPr>
            <w:tcW w:w="4678" w:type="dxa"/>
            <w:shd w:val="clear" w:color="auto" w:fill="D9D9D9" w:themeFill="background1" w:themeFillShade="D9"/>
            <w:vAlign w:val="center"/>
          </w:tcPr>
          <w:p w:rsidR="00C15169" w:rsidRPr="00ED5C93" w:rsidRDefault="00C15169" w:rsidP="00ED5C93">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Големи предприятия</w:t>
            </w:r>
          </w:p>
        </w:tc>
      </w:tr>
      <w:tr w:rsidR="00C15169" w:rsidRPr="00BD3276" w:rsidTr="003D63A5">
        <w:tc>
          <w:tcPr>
            <w:tcW w:w="4928" w:type="dxa"/>
          </w:tcPr>
          <w:p w:rsidR="00C15169" w:rsidRPr="00BD3276" w:rsidRDefault="00C15169" w:rsidP="00D80454">
            <w:pPr>
              <w:pStyle w:val="ListParagraph"/>
              <w:spacing w:after="360"/>
              <w:ind w:left="0"/>
              <w:jc w:val="center"/>
              <w:rPr>
                <w:rFonts w:asciiTheme="minorHAnsi" w:hAnsiTheme="minorHAnsi" w:cstheme="minorHAnsi"/>
                <w:sz w:val="24"/>
                <w:szCs w:val="24"/>
              </w:rPr>
            </w:pPr>
          </w:p>
          <w:p w:rsidR="00C15169" w:rsidRPr="00BD3276" w:rsidRDefault="00C15169" w:rsidP="00ED0D49">
            <w:pPr>
              <w:pStyle w:val="ListParagraph"/>
              <w:jc w:val="center"/>
              <w:rPr>
                <w:rFonts w:asciiTheme="minorHAnsi" w:hAnsiTheme="minorHAnsi" w:cstheme="minorHAnsi"/>
                <w:sz w:val="24"/>
                <w:szCs w:val="24"/>
              </w:rPr>
            </w:pPr>
            <w:r>
              <w:rPr>
                <w:rFonts w:asciiTheme="minorHAnsi" w:hAnsiTheme="minorHAnsi" w:cstheme="minorHAnsi"/>
                <w:sz w:val="24"/>
                <w:szCs w:val="24"/>
              </w:rPr>
              <w:t>1 0</w:t>
            </w:r>
            <w:r w:rsidRPr="00BD3276">
              <w:rPr>
                <w:rFonts w:asciiTheme="minorHAnsi" w:hAnsiTheme="minorHAnsi" w:cstheme="minorHAnsi"/>
                <w:sz w:val="24"/>
                <w:szCs w:val="24"/>
              </w:rPr>
              <w:t>00 </w:t>
            </w:r>
            <w:proofErr w:type="spellStart"/>
            <w:r w:rsidRPr="00BD3276">
              <w:rPr>
                <w:rFonts w:asciiTheme="minorHAnsi" w:hAnsiTheme="minorHAnsi" w:cstheme="minorHAnsi"/>
                <w:sz w:val="24"/>
                <w:szCs w:val="24"/>
              </w:rPr>
              <w:t>000</w:t>
            </w:r>
            <w:proofErr w:type="spellEnd"/>
            <w:r w:rsidRPr="00BD3276">
              <w:rPr>
                <w:rFonts w:asciiTheme="minorHAnsi" w:hAnsiTheme="minorHAnsi" w:cstheme="minorHAnsi"/>
                <w:sz w:val="24"/>
                <w:szCs w:val="24"/>
              </w:rPr>
              <w:t xml:space="preserve"> лева</w:t>
            </w:r>
          </w:p>
        </w:tc>
        <w:tc>
          <w:tcPr>
            <w:tcW w:w="4678" w:type="dxa"/>
          </w:tcPr>
          <w:p w:rsidR="00C15169" w:rsidRPr="00BD3276" w:rsidRDefault="00C15169" w:rsidP="00D80454">
            <w:pPr>
              <w:pStyle w:val="ListParagraph"/>
              <w:spacing w:after="360"/>
              <w:ind w:left="0"/>
              <w:jc w:val="center"/>
              <w:rPr>
                <w:rFonts w:asciiTheme="minorHAnsi" w:hAnsiTheme="minorHAnsi" w:cstheme="minorHAnsi"/>
                <w:sz w:val="24"/>
                <w:szCs w:val="24"/>
              </w:rPr>
            </w:pPr>
          </w:p>
          <w:p w:rsidR="00C15169" w:rsidRPr="00BD3276" w:rsidRDefault="00C15169" w:rsidP="00D80454">
            <w:pPr>
              <w:pStyle w:val="ListParagraph"/>
              <w:spacing w:after="360"/>
              <w:ind w:left="0"/>
              <w:jc w:val="center"/>
              <w:rPr>
                <w:rFonts w:asciiTheme="minorHAnsi" w:hAnsiTheme="minorHAnsi" w:cstheme="minorHAnsi"/>
                <w:sz w:val="24"/>
                <w:szCs w:val="24"/>
              </w:rPr>
            </w:pPr>
            <w:r>
              <w:rPr>
                <w:rFonts w:asciiTheme="minorHAnsi" w:hAnsiTheme="minorHAnsi" w:cstheme="minorHAnsi"/>
                <w:sz w:val="24"/>
                <w:szCs w:val="24"/>
              </w:rPr>
              <w:t>1 50</w:t>
            </w:r>
            <w:r w:rsidRPr="00BD3276">
              <w:rPr>
                <w:rFonts w:asciiTheme="minorHAnsi" w:hAnsiTheme="minorHAnsi" w:cstheme="minorHAnsi"/>
                <w:sz w:val="24"/>
                <w:szCs w:val="24"/>
              </w:rPr>
              <w:t>0 000 лева</w:t>
            </w:r>
          </w:p>
        </w:tc>
      </w:tr>
    </w:tbl>
    <w:p w:rsidR="00C1596C" w:rsidRPr="00BD3276" w:rsidRDefault="00C1596C" w:rsidP="00420F8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735FB0" w:rsidRPr="00DF53C5" w:rsidRDefault="00857382" w:rsidP="001D7A0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1693E">
        <w:rPr>
          <w:b/>
          <w:sz w:val="24"/>
          <w:szCs w:val="24"/>
        </w:rPr>
        <w:t xml:space="preserve">ВАЖНО: </w:t>
      </w:r>
      <w:r w:rsidR="00233AFC" w:rsidRPr="00B1693E">
        <w:rPr>
          <w:sz w:val="24"/>
          <w:szCs w:val="24"/>
        </w:rPr>
        <w:t xml:space="preserve">Безвъзмездната финансова помощ  по процедурата, заедно с договорената   за последните </w:t>
      </w:r>
      <w:r w:rsidR="00233AFC" w:rsidRPr="004E11FB">
        <w:rPr>
          <w:sz w:val="24"/>
          <w:szCs w:val="24"/>
        </w:rPr>
        <w:t>седем години безвъзмездна финансова помощ по ОПРКБИ и/или ОПИК, не може да надвишава 2 500 000 лева за микро и малки предприятия</w:t>
      </w:r>
      <w:r w:rsidR="00233AFC" w:rsidRPr="004E11FB">
        <w:rPr>
          <w:sz w:val="24"/>
          <w:szCs w:val="24"/>
          <w:lang w:val="en-US"/>
        </w:rPr>
        <w:t xml:space="preserve">, </w:t>
      </w:r>
      <w:r w:rsidR="00233AFC" w:rsidRPr="004E11FB">
        <w:rPr>
          <w:sz w:val="24"/>
          <w:szCs w:val="24"/>
        </w:rPr>
        <w:t xml:space="preserve">5 000 </w:t>
      </w:r>
      <w:proofErr w:type="spellStart"/>
      <w:r w:rsidR="00233AFC" w:rsidRPr="004E11FB">
        <w:rPr>
          <w:sz w:val="24"/>
          <w:szCs w:val="24"/>
        </w:rPr>
        <w:t>000</w:t>
      </w:r>
      <w:proofErr w:type="spellEnd"/>
      <w:r w:rsidR="00233AFC" w:rsidRPr="004E11FB">
        <w:rPr>
          <w:sz w:val="24"/>
          <w:szCs w:val="24"/>
        </w:rPr>
        <w:t xml:space="preserve"> лева за средни предприятия</w:t>
      </w:r>
      <w:r w:rsidR="00233AFC" w:rsidRPr="004E11FB">
        <w:rPr>
          <w:sz w:val="24"/>
          <w:szCs w:val="24"/>
          <w:lang w:val="en-US"/>
        </w:rPr>
        <w:t xml:space="preserve"> </w:t>
      </w:r>
      <w:r w:rsidR="00233AFC" w:rsidRPr="004E11FB">
        <w:rPr>
          <w:sz w:val="24"/>
          <w:szCs w:val="24"/>
        </w:rPr>
        <w:t>и</w:t>
      </w:r>
      <w:r w:rsidR="00726419" w:rsidRPr="004E11FB">
        <w:rPr>
          <w:sz w:val="24"/>
          <w:szCs w:val="24"/>
        </w:rPr>
        <w:t xml:space="preserve"> </w:t>
      </w:r>
      <w:r w:rsidR="00D97F69" w:rsidRPr="004E11FB">
        <w:rPr>
          <w:sz w:val="24"/>
          <w:szCs w:val="24"/>
          <w:lang w:val="en-US"/>
        </w:rPr>
        <w:t>7 500 000</w:t>
      </w:r>
      <w:r w:rsidR="00233AFC" w:rsidRPr="004E11FB">
        <w:rPr>
          <w:sz w:val="24"/>
          <w:szCs w:val="24"/>
        </w:rPr>
        <w:t xml:space="preserve"> лева за големи</w:t>
      </w:r>
      <w:r w:rsidR="00233AFC" w:rsidRPr="00B1693E">
        <w:rPr>
          <w:sz w:val="24"/>
          <w:szCs w:val="24"/>
        </w:rPr>
        <w:t xml:space="preserve"> предприятия. В случай че по време на финансовата оценка се установи надвишаване на тези прагове, Оценителната комисия служебно ги намалява до максимално допустимия размер</w:t>
      </w:r>
      <w:r w:rsidR="004756E6">
        <w:rPr>
          <w:sz w:val="24"/>
          <w:szCs w:val="24"/>
          <w:lang w:val="en-US"/>
        </w:rPr>
        <w:t>.</w:t>
      </w:r>
      <w:r w:rsidR="00DF53C5">
        <w:rPr>
          <w:sz w:val="24"/>
          <w:szCs w:val="24"/>
        </w:rPr>
        <w:t xml:space="preserve"> В случай че на етап договаряне се </w:t>
      </w:r>
      <w:r w:rsidR="00C27417">
        <w:rPr>
          <w:sz w:val="24"/>
          <w:szCs w:val="24"/>
        </w:rPr>
        <w:t>установи надвишаване на посочените прагове</w:t>
      </w:r>
      <w:r w:rsidR="00637A58">
        <w:rPr>
          <w:sz w:val="24"/>
          <w:szCs w:val="24"/>
        </w:rPr>
        <w:t xml:space="preserve">, </w:t>
      </w:r>
      <w:r w:rsidR="00637A58" w:rsidRPr="00637A58">
        <w:rPr>
          <w:sz w:val="24"/>
          <w:szCs w:val="24"/>
        </w:rPr>
        <w:t>Ръководителят на Управляващия орган взема мотивирано решение за отказ за предоставяне на безвъзмездна финансова помощ</w:t>
      </w:r>
      <w:r w:rsidR="00637A58">
        <w:rPr>
          <w:sz w:val="24"/>
          <w:szCs w:val="24"/>
        </w:rPr>
        <w:t>.</w:t>
      </w:r>
    </w:p>
    <w:p w:rsidR="00025472" w:rsidRDefault="006A32B3" w:rsidP="001D7A0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 xml:space="preserve">Важно: </w:t>
      </w:r>
      <w:r w:rsidRPr="00865B44">
        <w:rPr>
          <w:sz w:val="24"/>
          <w:szCs w:val="24"/>
        </w:rPr>
        <w:t>Кандидатите, които са подали проектни предложения по</w:t>
      </w:r>
      <w:r w:rsidR="00367BE5">
        <w:rPr>
          <w:sz w:val="24"/>
          <w:szCs w:val="24"/>
        </w:rPr>
        <w:t xml:space="preserve"> процедура</w:t>
      </w:r>
      <w:r w:rsidRPr="00865B44">
        <w:rPr>
          <w:sz w:val="24"/>
          <w:szCs w:val="24"/>
        </w:rPr>
        <w:t xml:space="preserve"> BG16RFOP002-2.001 "Подобряване на производствения капацитет в МСП"</w:t>
      </w:r>
      <w:r w:rsidR="001E1D9D" w:rsidRPr="00865B44">
        <w:rPr>
          <w:sz w:val="24"/>
          <w:szCs w:val="24"/>
        </w:rPr>
        <w:t>, следва да имат предвид, че ако са одоб</w:t>
      </w:r>
      <w:r w:rsidR="00865B44" w:rsidRPr="00865B44">
        <w:rPr>
          <w:sz w:val="24"/>
          <w:szCs w:val="24"/>
        </w:rPr>
        <w:t>рени и сключат договор, то стойност</w:t>
      </w:r>
      <w:r w:rsidR="00367BE5">
        <w:rPr>
          <w:sz w:val="24"/>
          <w:szCs w:val="24"/>
        </w:rPr>
        <w:t>та на тази БФП</w:t>
      </w:r>
      <w:r w:rsidR="00865B44" w:rsidRPr="00865B44">
        <w:rPr>
          <w:sz w:val="24"/>
          <w:szCs w:val="24"/>
        </w:rPr>
        <w:t xml:space="preserve">  </w:t>
      </w:r>
      <w:r w:rsidR="00B43E4E">
        <w:rPr>
          <w:sz w:val="24"/>
          <w:szCs w:val="24"/>
        </w:rPr>
        <w:t xml:space="preserve">ще </w:t>
      </w:r>
      <w:r w:rsidR="00865B44" w:rsidRPr="00865B44">
        <w:rPr>
          <w:sz w:val="24"/>
          <w:szCs w:val="24"/>
        </w:rPr>
        <w:t xml:space="preserve"> бъде в</w:t>
      </w:r>
      <w:r w:rsidR="00942914">
        <w:rPr>
          <w:sz w:val="24"/>
          <w:szCs w:val="24"/>
        </w:rPr>
        <w:t>зета предвид</w:t>
      </w:r>
      <w:r w:rsidR="00865B44" w:rsidRPr="00865B44">
        <w:rPr>
          <w:sz w:val="24"/>
          <w:szCs w:val="24"/>
        </w:rPr>
        <w:t xml:space="preserve"> при пресмятането на горепосочените максимални прагове за получена БФП</w:t>
      </w:r>
      <w:r w:rsidR="00367BE5">
        <w:rPr>
          <w:sz w:val="24"/>
          <w:szCs w:val="24"/>
        </w:rPr>
        <w:t xml:space="preserve"> за период от 7 години</w:t>
      </w:r>
      <w:r w:rsidR="00942914">
        <w:rPr>
          <w:sz w:val="24"/>
          <w:szCs w:val="24"/>
        </w:rPr>
        <w:t xml:space="preserve"> при финансовата оценка на проектните предложения, както и на етап договаряне</w:t>
      </w:r>
      <w:r w:rsidR="006C4C2B">
        <w:rPr>
          <w:sz w:val="24"/>
          <w:szCs w:val="24"/>
        </w:rPr>
        <w:t xml:space="preserve"> по настоящата процедура</w:t>
      </w:r>
      <w:r w:rsidR="00865B44" w:rsidRPr="00865B44">
        <w:rPr>
          <w:sz w:val="24"/>
          <w:szCs w:val="24"/>
        </w:rPr>
        <w:t>.</w:t>
      </w:r>
    </w:p>
    <w:p w:rsidR="009D2FAA" w:rsidRDefault="009D2FAA"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9D2FAA">
        <w:rPr>
          <w:rFonts w:ascii="Calibri" w:eastAsia="Calibri" w:hAnsi="Calibri" w:cs="Times New Roman"/>
          <w:sz w:val="24"/>
          <w:szCs w:val="24"/>
        </w:rPr>
        <w:t>В рамките на горните</w:t>
      </w:r>
      <w:r w:rsidR="00264DBF">
        <w:rPr>
          <w:rFonts w:ascii="Calibri" w:eastAsia="Calibri" w:hAnsi="Calibri" w:cs="Times New Roman"/>
          <w:sz w:val="24"/>
          <w:szCs w:val="24"/>
        </w:rPr>
        <w:t xml:space="preserve"> минимални и</w:t>
      </w:r>
      <w:r w:rsidRPr="009D2FAA">
        <w:rPr>
          <w:rFonts w:ascii="Calibri" w:eastAsia="Calibri" w:hAnsi="Calibri" w:cs="Times New Roman"/>
          <w:sz w:val="24"/>
          <w:szCs w:val="24"/>
        </w:rPr>
        <w:t xml:space="preserve"> максимални размери са налице следните ограничения, следващи от правилата за държавни помощи:</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b/>
          <w:sz w:val="24"/>
          <w:szCs w:val="24"/>
          <w:lang w:val="en-US"/>
        </w:rPr>
        <w:t>I</w:t>
      </w:r>
      <w:r w:rsidRPr="00264DBF">
        <w:rPr>
          <w:rFonts w:ascii="Calibri" w:eastAsia="Calibri" w:hAnsi="Calibri" w:cs="Times New Roman"/>
          <w:b/>
          <w:sz w:val="24"/>
          <w:szCs w:val="24"/>
        </w:rPr>
        <w:t>. Минимал</w:t>
      </w:r>
      <w:r w:rsidR="0029305C">
        <w:rPr>
          <w:rFonts w:ascii="Calibri" w:eastAsia="Calibri" w:hAnsi="Calibri" w:cs="Times New Roman"/>
          <w:b/>
          <w:sz w:val="24"/>
          <w:szCs w:val="24"/>
        </w:rPr>
        <w:t>ният</w:t>
      </w:r>
      <w:r w:rsidRPr="00264DBF">
        <w:rPr>
          <w:rFonts w:ascii="Calibri" w:eastAsia="Calibri" w:hAnsi="Calibri" w:cs="Times New Roman"/>
          <w:b/>
          <w:sz w:val="24"/>
          <w:szCs w:val="24"/>
        </w:rPr>
        <w:t xml:space="preserve"> размер на </w:t>
      </w:r>
      <w:r w:rsidRPr="00264DBF">
        <w:rPr>
          <w:rFonts w:ascii="Calibri" w:eastAsia="Calibri" w:hAnsi="Calibri" w:cs="Times New Roman"/>
          <w:b/>
          <w:sz w:val="24"/>
          <w:szCs w:val="24"/>
          <w:u w:val="single"/>
        </w:rPr>
        <w:t>допустимите разходи по Елемент „Инвестиции</w:t>
      </w:r>
      <w:proofErr w:type="gramStart"/>
      <w:r w:rsidRPr="00264DBF">
        <w:rPr>
          <w:rFonts w:ascii="Calibri" w:eastAsia="Calibri" w:hAnsi="Calibri" w:cs="Times New Roman"/>
          <w:b/>
          <w:sz w:val="24"/>
          <w:szCs w:val="24"/>
          <w:u w:val="single"/>
        </w:rPr>
        <w:t>“</w:t>
      </w:r>
      <w:r w:rsidRPr="00264DBF">
        <w:rPr>
          <w:rFonts w:ascii="Calibri" w:eastAsia="Calibri" w:hAnsi="Calibri" w:cs="Times New Roman"/>
          <w:sz w:val="24"/>
          <w:szCs w:val="24"/>
        </w:rPr>
        <w:t xml:space="preserve"> (</w:t>
      </w:r>
      <w:proofErr w:type="gramEnd"/>
      <w:r w:rsidRPr="00264DBF">
        <w:rPr>
          <w:rFonts w:ascii="Calibri" w:eastAsia="Calibri" w:hAnsi="Calibri" w:cs="Times New Roman"/>
          <w:sz w:val="24"/>
          <w:szCs w:val="24"/>
        </w:rPr>
        <w:t xml:space="preserve">приложимо само в случаите, когато предприятията са заявили </w:t>
      </w:r>
      <w:r w:rsidRPr="00264DBF">
        <w:rPr>
          <w:rFonts w:ascii="Calibri" w:eastAsia="Calibri" w:hAnsi="Calibri" w:cs="Times New Roman"/>
          <w:sz w:val="24"/>
          <w:szCs w:val="24"/>
          <w:u w:val="single"/>
        </w:rPr>
        <w:t>регионална инвестиционна помощ</w:t>
      </w:r>
      <w:r w:rsidRPr="00264DBF">
        <w:rPr>
          <w:rFonts w:ascii="Calibri" w:eastAsia="Calibri" w:hAnsi="Calibri" w:cs="Times New Roman"/>
          <w:sz w:val="24"/>
          <w:szCs w:val="24"/>
        </w:rPr>
        <w:t>) е както следва:</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u w:val="single"/>
        </w:rPr>
      </w:pPr>
      <w:r w:rsidRPr="00264DBF">
        <w:rPr>
          <w:rFonts w:ascii="Calibri" w:eastAsia="Calibri" w:hAnsi="Calibri" w:cs="Times New Roman"/>
          <w:b/>
          <w:sz w:val="24"/>
          <w:szCs w:val="24"/>
        </w:rPr>
        <w:t xml:space="preserve">1) </w:t>
      </w:r>
      <w:r w:rsidRPr="00264DBF">
        <w:rPr>
          <w:rFonts w:ascii="Calibri" w:eastAsia="Calibri" w:hAnsi="Calibri" w:cs="Times New Roman"/>
          <w:sz w:val="24"/>
          <w:szCs w:val="24"/>
          <w:u w:val="single"/>
        </w:rPr>
        <w:t>При основна промяна в целия производствен процес на съществуващ стопански обект:</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Допустимите разходи трябва да надхвърлят амортизацията на активите, свързани с дейността, която предстои да бъде модернизирана (методът за производство или доставка, който се заменя с въвеждането на нов или значителн</w:t>
      </w:r>
      <w:r w:rsidRPr="00DE4C2B">
        <w:rPr>
          <w:rFonts w:ascii="Calibri" w:eastAsia="Calibri" w:hAnsi="Calibri" w:cs="Times New Roman"/>
          <w:sz w:val="24"/>
          <w:szCs w:val="24"/>
        </w:rPr>
        <w:t xml:space="preserve">о се усъвършенства), </w:t>
      </w:r>
      <w:r w:rsidR="00B34CE4" w:rsidRPr="00DE4C2B">
        <w:rPr>
          <w:rFonts w:ascii="Calibri" w:eastAsia="Calibri" w:hAnsi="Calibri" w:cs="Times New Roman"/>
          <w:sz w:val="24"/>
          <w:szCs w:val="24"/>
        </w:rPr>
        <w:t xml:space="preserve">за </w:t>
      </w:r>
      <w:r w:rsidRPr="00DE4C2B">
        <w:rPr>
          <w:rFonts w:ascii="Calibri" w:eastAsia="Calibri" w:hAnsi="Calibri" w:cs="Times New Roman"/>
          <w:sz w:val="24"/>
          <w:szCs w:val="24"/>
        </w:rPr>
        <w:t xml:space="preserve">предходните три </w:t>
      </w:r>
      <w:r w:rsidR="00B34CE4" w:rsidRPr="00DE4C2B">
        <w:rPr>
          <w:rFonts w:ascii="Calibri" w:eastAsia="Calibri" w:hAnsi="Calibri" w:cs="Times New Roman"/>
          <w:sz w:val="24"/>
          <w:szCs w:val="24"/>
        </w:rPr>
        <w:t>отчетни периода (</w:t>
      </w:r>
      <w:r w:rsidRPr="00DE4C2B">
        <w:rPr>
          <w:rFonts w:ascii="Calibri" w:eastAsia="Calibri" w:hAnsi="Calibri" w:cs="Times New Roman"/>
          <w:sz w:val="24"/>
          <w:szCs w:val="24"/>
        </w:rPr>
        <w:t>години</w:t>
      </w:r>
      <w:r w:rsidR="00B34CE4" w:rsidRPr="00DE4C2B">
        <w:rPr>
          <w:rFonts w:ascii="Calibri" w:eastAsia="Calibri" w:hAnsi="Calibri" w:cs="Times New Roman"/>
          <w:sz w:val="24"/>
          <w:szCs w:val="24"/>
        </w:rPr>
        <w:t>)</w:t>
      </w:r>
      <w:r w:rsidRPr="00DE4C2B">
        <w:rPr>
          <w:rFonts w:ascii="Calibri" w:eastAsia="Calibri" w:hAnsi="Calibri" w:cs="Times New Roman"/>
          <w:sz w:val="24"/>
          <w:szCs w:val="24"/>
        </w:rPr>
        <w:t>.</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lastRenderedPageBreak/>
        <w:t>За целите на определяне на минималния размер на допустимите разходи:</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w:t>
      </w:r>
      <w:r w:rsidR="00A60989">
        <w:rPr>
          <w:rFonts w:ascii="Calibri" w:eastAsia="Calibri" w:hAnsi="Calibri" w:cs="Times New Roman"/>
          <w:sz w:val="24"/>
          <w:szCs w:val="24"/>
        </w:rPr>
        <w:t xml:space="preserve"> </w:t>
      </w:r>
      <w:r w:rsidRPr="00264DBF">
        <w:rPr>
          <w:rFonts w:ascii="Calibri" w:eastAsia="Calibri" w:hAnsi="Calibri" w:cs="Times New Roman"/>
          <w:sz w:val="24"/>
          <w:szCs w:val="24"/>
        </w:rPr>
        <w:t>Под активи се има предвид дълготрайни материални и нематериални активи. Под дълготрайни</w:t>
      </w:r>
      <w:r w:rsidR="00442733">
        <w:rPr>
          <w:rFonts w:ascii="Calibri" w:eastAsia="Calibri" w:hAnsi="Calibri" w:cs="Times New Roman"/>
          <w:sz w:val="24"/>
          <w:szCs w:val="24"/>
        </w:rPr>
        <w:t xml:space="preserve"> материални</w:t>
      </w:r>
      <w:r w:rsidRPr="00264DBF">
        <w:rPr>
          <w:rFonts w:ascii="Calibri" w:eastAsia="Calibri" w:hAnsi="Calibri" w:cs="Times New Roman"/>
          <w:sz w:val="24"/>
          <w:szCs w:val="24"/>
        </w:rPr>
        <w:t xml:space="preserve"> активи се има предвид земя, сгради, съоръжения, машини и оборудване;</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 xml:space="preserve">- Амортизацията на активите се изчислява като </w:t>
      </w:r>
      <w:r w:rsidR="00884B49">
        <w:rPr>
          <w:rFonts w:ascii="Calibri" w:eastAsia="Calibri" w:hAnsi="Calibri" w:cs="Times New Roman"/>
          <w:sz w:val="24"/>
          <w:szCs w:val="24"/>
        </w:rPr>
        <w:t xml:space="preserve">сумата на </w:t>
      </w:r>
      <w:r w:rsidR="00884B49" w:rsidRPr="00DE4C2B">
        <w:rPr>
          <w:rFonts w:ascii="Calibri" w:eastAsia="Calibri" w:hAnsi="Calibri" w:cs="Times New Roman"/>
          <w:sz w:val="24"/>
          <w:szCs w:val="24"/>
        </w:rPr>
        <w:t>разходи</w:t>
      </w:r>
      <w:r w:rsidR="00BB0C3D" w:rsidRPr="00DE4C2B">
        <w:rPr>
          <w:rFonts w:ascii="Calibri" w:eastAsia="Calibri" w:hAnsi="Calibri" w:cs="Times New Roman"/>
          <w:sz w:val="24"/>
          <w:szCs w:val="24"/>
        </w:rPr>
        <w:t>те</w:t>
      </w:r>
      <w:r w:rsidR="00884B49" w:rsidRPr="00DE4C2B">
        <w:rPr>
          <w:rFonts w:ascii="Calibri" w:eastAsia="Calibri" w:hAnsi="Calibri" w:cs="Times New Roman"/>
          <w:sz w:val="24"/>
          <w:szCs w:val="24"/>
        </w:rPr>
        <w:t xml:space="preserve"> з</w:t>
      </w:r>
      <w:r w:rsidRPr="00DE4C2B">
        <w:rPr>
          <w:rFonts w:ascii="Calibri" w:eastAsia="Calibri" w:hAnsi="Calibri" w:cs="Times New Roman"/>
          <w:sz w:val="24"/>
          <w:szCs w:val="24"/>
        </w:rPr>
        <w:t>а</w:t>
      </w:r>
      <w:r w:rsidRPr="00264DBF">
        <w:rPr>
          <w:rFonts w:ascii="Calibri" w:eastAsia="Calibri" w:hAnsi="Calibri" w:cs="Times New Roman"/>
          <w:sz w:val="24"/>
          <w:szCs w:val="24"/>
        </w:rPr>
        <w:t xml:space="preserve"> амортизацията на активите за </w:t>
      </w:r>
      <w:r w:rsidR="00884B49">
        <w:rPr>
          <w:rFonts w:ascii="Calibri" w:eastAsia="Calibri" w:hAnsi="Calibri" w:cs="Times New Roman"/>
          <w:sz w:val="24"/>
          <w:szCs w:val="24"/>
        </w:rPr>
        <w:t>предходните три отчетни периода преди започване на</w:t>
      </w:r>
      <w:r w:rsidRPr="00264DBF">
        <w:rPr>
          <w:rFonts w:ascii="Calibri" w:eastAsia="Calibri" w:hAnsi="Calibri" w:cs="Times New Roman"/>
          <w:sz w:val="24"/>
          <w:szCs w:val="24"/>
        </w:rPr>
        <w:t xml:space="preserve"> работата по инвестицията</w:t>
      </w:r>
      <w:r w:rsidRPr="00264DBF">
        <w:rPr>
          <w:rFonts w:ascii="Calibri" w:eastAsia="Calibri" w:hAnsi="Calibri" w:cs="Times New Roman"/>
          <w:sz w:val="24"/>
          <w:szCs w:val="24"/>
          <w:vertAlign w:val="superscript"/>
        </w:rPr>
        <w:footnoteReference w:id="3"/>
      </w:r>
      <w:r w:rsidRPr="00264DBF">
        <w:rPr>
          <w:rFonts w:ascii="Calibri" w:eastAsia="Calibri" w:hAnsi="Calibri" w:cs="Times New Roman"/>
          <w:sz w:val="24"/>
          <w:szCs w:val="24"/>
        </w:rPr>
        <w:t xml:space="preserve">.  </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 Взема се предвид само амортизацията на частта от съответния актив/активи, която се използва за методът за производство или доставка, който се заменя с въвеждането на нов или значително се усъвършенства. Частта от актива се определя като част от площта на недвижимия имот или съответно част от капацитета на съответните съоръжения, машини и оборудване;</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r w:rsidRPr="00264DBF">
        <w:rPr>
          <w:rFonts w:ascii="Calibri" w:eastAsia="Calibri" w:hAnsi="Calibri" w:cs="Times New Roman"/>
          <w:b/>
          <w:sz w:val="24"/>
          <w:szCs w:val="24"/>
        </w:rPr>
        <w:t>2)</w:t>
      </w:r>
      <w:r w:rsidRPr="00264DBF">
        <w:rPr>
          <w:rFonts w:ascii="Calibri" w:eastAsia="Calibri" w:hAnsi="Calibri" w:cs="Times New Roman"/>
          <w:sz w:val="24"/>
          <w:szCs w:val="24"/>
        </w:rPr>
        <w:t xml:space="preserve"> При диверсификацията на продукцията на стопански обект с продукти, които не са били произвеждани до момента в стопанския обект:</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Допустимите разходи трябва да надхвърлят с поне 200 % счетоводната стойност на активите, които се използват повторно, както са осчетоводени през финансовата година преди започването на работата по проекта.</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За целите на определяне на минималния размер на допустимите разходи:</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w:t>
      </w:r>
      <w:r w:rsidRPr="00264DBF">
        <w:rPr>
          <w:rFonts w:ascii="Calibri" w:eastAsia="Calibri" w:hAnsi="Calibri" w:cs="Times New Roman"/>
          <w:sz w:val="24"/>
          <w:szCs w:val="24"/>
        </w:rPr>
        <w:tab/>
        <w:t xml:space="preserve">Счетоводната стойност на активите, които се използват повторно е стойността ,на която активът е заведен в баланса на кандидата и представлява остатъчната стойност на актива, така както е вписан в счетоводните документи на кандидата/бенефициента </w:t>
      </w:r>
      <w:r w:rsidR="00994356">
        <w:rPr>
          <w:rFonts w:ascii="Calibri" w:eastAsia="Calibri" w:hAnsi="Calibri" w:cs="Times New Roman"/>
          <w:sz w:val="24"/>
          <w:szCs w:val="24"/>
        </w:rPr>
        <w:t xml:space="preserve">към 31 декември на годината преди </w:t>
      </w:r>
      <w:r w:rsidRPr="00264DBF">
        <w:rPr>
          <w:rFonts w:ascii="Calibri" w:eastAsia="Calibri" w:hAnsi="Calibri" w:cs="Times New Roman"/>
          <w:sz w:val="24"/>
          <w:szCs w:val="24"/>
        </w:rPr>
        <w:t xml:space="preserve">започването на работата по </w:t>
      </w:r>
      <w:r w:rsidR="00994356">
        <w:rPr>
          <w:rFonts w:ascii="Calibri" w:eastAsia="Calibri" w:hAnsi="Calibri" w:cs="Times New Roman"/>
          <w:sz w:val="24"/>
          <w:szCs w:val="24"/>
        </w:rPr>
        <w:t>първоначалната инвестиция</w:t>
      </w:r>
      <w:r w:rsidRPr="00264DBF">
        <w:rPr>
          <w:rFonts w:ascii="Calibri" w:eastAsia="Calibri" w:hAnsi="Calibri" w:cs="Times New Roman"/>
          <w:sz w:val="24"/>
          <w:szCs w:val="24"/>
        </w:rPr>
        <w:t>.</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862AF1">
        <w:rPr>
          <w:rFonts w:ascii="Calibri" w:eastAsia="Calibri" w:hAnsi="Calibri" w:cs="Times New Roman"/>
          <w:sz w:val="24"/>
          <w:szCs w:val="24"/>
        </w:rPr>
        <w:t>-</w:t>
      </w:r>
      <w:r w:rsidRPr="00862AF1">
        <w:rPr>
          <w:rFonts w:ascii="Calibri" w:eastAsia="Calibri" w:hAnsi="Calibri" w:cs="Times New Roman"/>
          <w:sz w:val="24"/>
          <w:szCs w:val="24"/>
        </w:rPr>
        <w:tab/>
        <w:t>Стойността на допустимите разходи трябва да бъде по-висока от стойността на счетоводната стойност на активите умножена по три;</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w:t>
      </w:r>
      <w:r w:rsidRPr="00264DBF">
        <w:rPr>
          <w:rFonts w:ascii="Calibri" w:eastAsia="Calibri" w:hAnsi="Calibri" w:cs="Times New Roman"/>
          <w:sz w:val="24"/>
          <w:szCs w:val="24"/>
        </w:rPr>
        <w:tab/>
        <w:t xml:space="preserve">Следва да се вземе предвид степента, в която активите се използват повторно, т.е. само съответната част от счетоводната стойност на съответния актив, която ще бъде използвана повторно, следва да се вземе предвид. </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sz w:val="24"/>
          <w:szCs w:val="24"/>
        </w:rPr>
        <w:t>-</w:t>
      </w:r>
      <w:r w:rsidRPr="00264DBF">
        <w:rPr>
          <w:rFonts w:ascii="Calibri" w:eastAsia="Calibri" w:hAnsi="Calibri" w:cs="Times New Roman"/>
          <w:sz w:val="24"/>
          <w:szCs w:val="24"/>
        </w:rPr>
        <w:tab/>
        <w:t>Под повторно използване се имат предвид случаите, когато използваните активи за производството на съществуващ продукт/услуга, ще бъдат използвани изцяло или частично и за новия продукт/услуга, който предстои да бъде произвеждан.</w:t>
      </w: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264DBF" w:rsidRPr="00264DBF"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u w:val="single"/>
        </w:rPr>
      </w:pPr>
      <w:r w:rsidRPr="00264DBF">
        <w:rPr>
          <w:rFonts w:ascii="Calibri" w:eastAsia="Calibri" w:hAnsi="Calibri" w:cs="Times New Roman"/>
          <w:b/>
          <w:sz w:val="24"/>
          <w:szCs w:val="24"/>
          <w:lang w:val="en-US"/>
        </w:rPr>
        <w:t>II</w:t>
      </w:r>
      <w:r w:rsidRPr="00264DBF">
        <w:rPr>
          <w:rFonts w:ascii="Calibri" w:eastAsia="Calibri" w:hAnsi="Calibri" w:cs="Times New Roman"/>
          <w:b/>
          <w:sz w:val="24"/>
          <w:szCs w:val="24"/>
        </w:rPr>
        <w:t xml:space="preserve">. Максимален размер на </w:t>
      </w:r>
      <w:r w:rsidRPr="00264DBF">
        <w:rPr>
          <w:rFonts w:ascii="Calibri" w:eastAsia="Calibri" w:hAnsi="Calibri" w:cs="Times New Roman"/>
          <w:b/>
          <w:sz w:val="24"/>
          <w:szCs w:val="24"/>
          <w:u w:val="single"/>
        </w:rPr>
        <w:t>помощта</w:t>
      </w:r>
    </w:p>
    <w:p w:rsidR="00264DBF" w:rsidRPr="009D2FAA" w:rsidRDefault="00264DBF" w:rsidP="00264DBF">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264DBF">
        <w:rPr>
          <w:rFonts w:ascii="Calibri" w:eastAsia="Calibri" w:hAnsi="Calibri" w:cs="Times New Roman"/>
          <w:b/>
          <w:sz w:val="24"/>
          <w:szCs w:val="24"/>
        </w:rPr>
        <w:t>1)</w:t>
      </w:r>
      <w:r w:rsidRPr="00264DBF">
        <w:rPr>
          <w:rFonts w:ascii="Calibri" w:eastAsia="Calibri" w:hAnsi="Calibri" w:cs="Times New Roman"/>
          <w:sz w:val="24"/>
          <w:szCs w:val="24"/>
        </w:rPr>
        <w:t xml:space="preserve"> </w:t>
      </w:r>
      <w:r w:rsidRPr="00264DBF">
        <w:rPr>
          <w:rFonts w:ascii="Calibri" w:eastAsia="Calibri" w:hAnsi="Calibri" w:cs="Times New Roman"/>
          <w:b/>
          <w:sz w:val="24"/>
          <w:szCs w:val="24"/>
        </w:rPr>
        <w:t>В случай на регионална инвестиционна помощ:</w:t>
      </w:r>
    </w:p>
    <w:p w:rsidR="008326C7" w:rsidRPr="00BD3276" w:rsidRDefault="002E09B5"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r w:rsidRPr="00BD3276">
        <w:rPr>
          <w:rFonts w:ascii="Calibri" w:eastAsia="Calibri" w:hAnsi="Calibri" w:cs="Times New Roman"/>
          <w:sz w:val="24"/>
          <w:szCs w:val="24"/>
        </w:rPr>
        <w:t>Б</w:t>
      </w:r>
      <w:r w:rsidR="008326C7" w:rsidRPr="00BD3276">
        <w:rPr>
          <w:rFonts w:ascii="Calibri" w:eastAsia="Calibri" w:hAnsi="Calibri" w:cs="Times New Roman"/>
          <w:sz w:val="24"/>
          <w:szCs w:val="24"/>
        </w:rPr>
        <w:t>езвъзмездната финансова помощ</w:t>
      </w:r>
      <w:r w:rsidRPr="00BD3276">
        <w:rPr>
          <w:rFonts w:ascii="Calibri" w:eastAsia="Calibri" w:hAnsi="Calibri" w:cs="Times New Roman"/>
          <w:sz w:val="24"/>
          <w:szCs w:val="24"/>
        </w:rPr>
        <w:t>, за която се кандидатства</w:t>
      </w:r>
      <w:r w:rsidR="00111D0D">
        <w:rPr>
          <w:rFonts w:ascii="Calibri" w:eastAsia="Calibri" w:hAnsi="Calibri" w:cs="Times New Roman"/>
          <w:sz w:val="24"/>
          <w:szCs w:val="24"/>
        </w:rPr>
        <w:t xml:space="preserve"> по Елемент „Инвестиции</w:t>
      </w:r>
      <w:r w:rsidRPr="00BD3276">
        <w:rPr>
          <w:rFonts w:ascii="Calibri" w:eastAsia="Calibri" w:hAnsi="Calibri" w:cs="Times New Roman"/>
          <w:sz w:val="24"/>
          <w:szCs w:val="24"/>
        </w:rPr>
        <w:t>,</w:t>
      </w:r>
      <w:r w:rsidR="008326C7" w:rsidRPr="00BD3276">
        <w:rPr>
          <w:rFonts w:ascii="Calibri" w:eastAsia="Calibri" w:hAnsi="Calibri" w:cs="Times New Roman"/>
          <w:sz w:val="24"/>
          <w:szCs w:val="24"/>
        </w:rPr>
        <w:t xml:space="preserve"> </w:t>
      </w:r>
      <w:r w:rsidRPr="00BD3276">
        <w:rPr>
          <w:rFonts w:ascii="Calibri" w:eastAsia="Calibri" w:hAnsi="Calibri" w:cs="Times New Roman"/>
          <w:sz w:val="24"/>
          <w:szCs w:val="24"/>
        </w:rPr>
        <w:t xml:space="preserve">заедно с получената държавна/минимална помощ от други източници </w:t>
      </w:r>
      <w:r w:rsidR="008326C7" w:rsidRPr="00BD3276">
        <w:rPr>
          <w:rFonts w:ascii="Calibri" w:eastAsia="Calibri" w:hAnsi="Calibri" w:cs="Times New Roman"/>
          <w:sz w:val="24"/>
          <w:szCs w:val="24"/>
        </w:rPr>
        <w:t xml:space="preserve">не </w:t>
      </w:r>
      <w:r w:rsidRPr="00BD3276">
        <w:rPr>
          <w:rFonts w:ascii="Calibri" w:eastAsia="Calibri" w:hAnsi="Calibri" w:cs="Times New Roman"/>
          <w:sz w:val="24"/>
          <w:szCs w:val="24"/>
        </w:rPr>
        <w:t xml:space="preserve">може </w:t>
      </w:r>
      <w:r w:rsidR="008326C7" w:rsidRPr="00BD3276">
        <w:rPr>
          <w:rFonts w:ascii="Calibri" w:eastAsia="Calibri" w:hAnsi="Calibri" w:cs="Times New Roman"/>
          <w:sz w:val="24"/>
          <w:szCs w:val="24"/>
        </w:rPr>
        <w:t>да надхвърля:</w:t>
      </w:r>
    </w:p>
    <w:p w:rsidR="008326C7" w:rsidRPr="00BD3276" w:rsidRDefault="008326C7"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8326C7" w:rsidRPr="00BD3276" w:rsidRDefault="006D0786"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Pr>
          <w:rFonts w:ascii="Calibri" w:eastAsia="Calibri" w:hAnsi="Calibri" w:cs="Times New Roman"/>
          <w:b/>
          <w:sz w:val="24"/>
          <w:szCs w:val="24"/>
        </w:rPr>
        <w:t>А</w:t>
      </w:r>
      <w:r w:rsidR="008326C7" w:rsidRPr="00BD3276">
        <w:rPr>
          <w:rFonts w:ascii="Calibri" w:eastAsia="Calibri" w:hAnsi="Calibri" w:cs="Times New Roman"/>
          <w:b/>
          <w:sz w:val="24"/>
          <w:szCs w:val="24"/>
        </w:rPr>
        <w:t>)</w:t>
      </w:r>
      <w:r w:rsidR="008326C7" w:rsidRPr="00BD3276">
        <w:rPr>
          <w:rFonts w:ascii="Calibri" w:eastAsia="Calibri" w:hAnsi="Calibri" w:cs="Times New Roman"/>
          <w:sz w:val="24"/>
          <w:szCs w:val="24"/>
        </w:rPr>
        <w:t xml:space="preserve"> Максимално допустимия размер на помощта по чл. 4, </w:t>
      </w:r>
      <w:proofErr w:type="spellStart"/>
      <w:r w:rsidR="008326C7" w:rsidRPr="00BD3276">
        <w:rPr>
          <w:rFonts w:ascii="Calibri" w:eastAsia="Calibri" w:hAnsi="Calibri" w:cs="Times New Roman"/>
          <w:sz w:val="24"/>
          <w:szCs w:val="24"/>
        </w:rPr>
        <w:t>пар</w:t>
      </w:r>
      <w:proofErr w:type="spellEnd"/>
      <w:r w:rsidR="008326C7" w:rsidRPr="00BD3276">
        <w:rPr>
          <w:rFonts w:ascii="Calibri" w:eastAsia="Calibri" w:hAnsi="Calibri" w:cs="Times New Roman"/>
          <w:sz w:val="24"/>
          <w:szCs w:val="24"/>
        </w:rPr>
        <w:t>. 1, буква „а“ от Регламент на Комисията (ЕС) № 651/2014, както следва:</w:t>
      </w:r>
    </w:p>
    <w:p w:rsidR="008326C7" w:rsidRPr="00BD3276" w:rsidRDefault="007027FB"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BD3276">
        <w:rPr>
          <w:rFonts w:ascii="Calibri" w:eastAsia="Calibri" w:hAnsi="Calibri" w:cs="Times New Roman"/>
          <w:sz w:val="24"/>
          <w:szCs w:val="24"/>
        </w:rPr>
        <w:t xml:space="preserve"> </w:t>
      </w:r>
      <w:r w:rsidR="008326C7" w:rsidRPr="00BD3276">
        <w:rPr>
          <w:rFonts w:ascii="Calibri" w:eastAsia="Calibri" w:hAnsi="Calibri" w:cs="Times New Roman"/>
          <w:sz w:val="24"/>
          <w:szCs w:val="24"/>
        </w:rPr>
        <w:t>а)</w:t>
      </w:r>
      <w:r w:rsidR="008326C7" w:rsidRPr="00BD3276">
        <w:rPr>
          <w:rFonts w:ascii="Calibri" w:eastAsia="Calibri" w:hAnsi="Calibri" w:cs="Times New Roman"/>
          <w:bCs/>
          <w:sz w:val="24"/>
          <w:szCs w:val="24"/>
        </w:rPr>
        <w:t xml:space="preserve"> левовата равностойност на 18 750 000 евро, в случай че проектът ще бъде изпълняван в Югозападен район (NUTS2)</w:t>
      </w:r>
      <w:r w:rsidR="008326C7" w:rsidRPr="00BD3276">
        <w:rPr>
          <w:rFonts w:ascii="Calibri" w:eastAsia="Calibri" w:hAnsi="Calibri" w:cs="Times New Roman"/>
          <w:bCs/>
          <w:sz w:val="24"/>
          <w:szCs w:val="24"/>
          <w:vertAlign w:val="superscript"/>
        </w:rPr>
        <w:footnoteReference w:id="4"/>
      </w:r>
      <w:r w:rsidR="008326C7" w:rsidRPr="00BD3276">
        <w:rPr>
          <w:rFonts w:ascii="Calibri" w:eastAsia="Calibri" w:hAnsi="Calibri" w:cs="Times New Roman"/>
          <w:bCs/>
          <w:sz w:val="24"/>
          <w:szCs w:val="24"/>
        </w:rPr>
        <w:t>;</w:t>
      </w:r>
    </w:p>
    <w:p w:rsidR="008326C7" w:rsidRPr="00BD3276" w:rsidRDefault="007027FB"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BD3276">
        <w:rPr>
          <w:rFonts w:ascii="Calibri" w:eastAsia="Calibri" w:hAnsi="Calibri" w:cs="Times New Roman"/>
          <w:bCs/>
          <w:sz w:val="24"/>
          <w:szCs w:val="24"/>
        </w:rPr>
        <w:lastRenderedPageBreak/>
        <w:t xml:space="preserve"> </w:t>
      </w:r>
      <w:r w:rsidR="008326C7" w:rsidRPr="00BD3276">
        <w:rPr>
          <w:rFonts w:ascii="Calibri" w:eastAsia="Calibri" w:hAnsi="Calibri" w:cs="Times New Roman"/>
          <w:bCs/>
          <w:sz w:val="24"/>
          <w:szCs w:val="24"/>
        </w:rPr>
        <w:t>б) левовата равностойност на 37 500 000 евро, в случай че проектът ще бъде изпълняван извън Югозападен район (NUTS2).</w:t>
      </w:r>
    </w:p>
    <w:p w:rsidR="008326C7" w:rsidRPr="00BD3276" w:rsidRDefault="008326C7"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i/>
          <w:sz w:val="24"/>
          <w:szCs w:val="24"/>
        </w:rPr>
      </w:pPr>
    </w:p>
    <w:p w:rsidR="008326C7" w:rsidRPr="00BD3276" w:rsidRDefault="008326C7"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BD3276">
        <w:rPr>
          <w:rFonts w:ascii="Calibri" w:eastAsia="Calibri" w:hAnsi="Calibri" w:cs="Times New Roman"/>
          <w:sz w:val="24"/>
          <w:szCs w:val="24"/>
        </w:rPr>
        <w:t xml:space="preserve">Проверката за съответствие с максимално допустимия размер на помощта се извършва при вземане предвид на общия размер на </w:t>
      </w:r>
      <w:r w:rsidRPr="00BD3276">
        <w:rPr>
          <w:rFonts w:ascii="Calibri" w:eastAsia="Calibri" w:hAnsi="Calibri" w:cs="Times New Roman"/>
          <w:bCs/>
          <w:sz w:val="24"/>
          <w:szCs w:val="24"/>
        </w:rPr>
        <w:t xml:space="preserve">държавната помощ и/или минималната помощ получена във връзка със същите </w:t>
      </w:r>
      <w:proofErr w:type="spellStart"/>
      <w:r w:rsidRPr="00BD3276">
        <w:rPr>
          <w:rFonts w:ascii="Calibri" w:eastAsia="Calibri" w:hAnsi="Calibri" w:cs="Times New Roman"/>
          <w:bCs/>
          <w:sz w:val="24"/>
          <w:szCs w:val="24"/>
        </w:rPr>
        <w:t>установими</w:t>
      </w:r>
      <w:proofErr w:type="spellEnd"/>
      <w:r w:rsidRPr="00BD3276">
        <w:rPr>
          <w:rFonts w:ascii="Calibri" w:eastAsia="Calibri" w:hAnsi="Calibri" w:cs="Times New Roman"/>
          <w:bCs/>
          <w:sz w:val="24"/>
          <w:szCs w:val="24"/>
        </w:rPr>
        <w:t xml:space="preserve"> допустими разходи, които се припокриват частично или напълно с разходите по проекта.</w:t>
      </w:r>
    </w:p>
    <w:p w:rsidR="008326C7" w:rsidRPr="00BD3276" w:rsidRDefault="008326C7"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i/>
          <w:sz w:val="24"/>
          <w:szCs w:val="24"/>
        </w:rPr>
      </w:pPr>
    </w:p>
    <w:p w:rsidR="008326C7" w:rsidRPr="00BD3276" w:rsidRDefault="006D0786"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Pr>
          <w:rFonts w:ascii="Calibri" w:eastAsia="Calibri" w:hAnsi="Calibri" w:cs="Times New Roman"/>
          <w:b/>
          <w:sz w:val="24"/>
          <w:szCs w:val="24"/>
        </w:rPr>
        <w:t>Б</w:t>
      </w:r>
      <w:r w:rsidR="008326C7" w:rsidRPr="00BD3276">
        <w:rPr>
          <w:rFonts w:ascii="Calibri" w:eastAsia="Calibri" w:hAnsi="Calibri" w:cs="Times New Roman"/>
          <w:b/>
          <w:sz w:val="24"/>
          <w:szCs w:val="24"/>
        </w:rPr>
        <w:t>)</w:t>
      </w:r>
      <w:r w:rsidR="008326C7" w:rsidRPr="00BD3276">
        <w:rPr>
          <w:rFonts w:ascii="Calibri" w:eastAsia="Calibri" w:hAnsi="Calibri" w:cs="Times New Roman"/>
          <w:sz w:val="24"/>
          <w:szCs w:val="24"/>
        </w:rPr>
        <w:t xml:space="preserve"> Коригирания размер на помощта</w:t>
      </w:r>
      <w:r w:rsidR="00DD3AB5" w:rsidRPr="00BD3276">
        <w:rPr>
          <w:rFonts w:ascii="Calibri" w:eastAsia="Calibri" w:hAnsi="Calibri" w:cs="Times New Roman"/>
          <w:sz w:val="24"/>
          <w:szCs w:val="24"/>
        </w:rPr>
        <w:t xml:space="preserve">, изчислен съгласно указанията на чл. 2, </w:t>
      </w:r>
      <w:proofErr w:type="spellStart"/>
      <w:r w:rsidR="00DD3AB5" w:rsidRPr="00BD3276">
        <w:rPr>
          <w:rFonts w:ascii="Calibri" w:eastAsia="Calibri" w:hAnsi="Calibri" w:cs="Times New Roman"/>
          <w:sz w:val="24"/>
          <w:szCs w:val="24"/>
        </w:rPr>
        <w:t>пар</w:t>
      </w:r>
      <w:proofErr w:type="spellEnd"/>
      <w:r w:rsidR="00DD3AB5" w:rsidRPr="00BD3276">
        <w:rPr>
          <w:rFonts w:ascii="Calibri" w:eastAsia="Calibri" w:hAnsi="Calibri" w:cs="Times New Roman"/>
          <w:sz w:val="24"/>
          <w:szCs w:val="24"/>
        </w:rPr>
        <w:t>. 20 от Регламент на Коми</w:t>
      </w:r>
      <w:r w:rsidR="00D65C2E">
        <w:rPr>
          <w:rFonts w:ascii="Calibri" w:eastAsia="Calibri" w:hAnsi="Calibri" w:cs="Times New Roman"/>
          <w:sz w:val="24"/>
          <w:szCs w:val="24"/>
        </w:rPr>
        <w:t>сията (ЕС) № 651/2014, в случай</w:t>
      </w:r>
      <w:r w:rsidR="00DD3AB5" w:rsidRPr="00BD3276">
        <w:rPr>
          <w:rFonts w:ascii="Calibri" w:eastAsia="Calibri" w:hAnsi="Calibri" w:cs="Times New Roman"/>
          <w:sz w:val="24"/>
          <w:szCs w:val="24"/>
        </w:rPr>
        <w:t xml:space="preserve"> че стойността на допустимите разходи на инвестиционен проект или на единен инвестиционен проект</w:t>
      </w:r>
      <w:r w:rsidR="008326C7" w:rsidRPr="00BD3276">
        <w:rPr>
          <w:rFonts w:ascii="Calibri" w:eastAsia="Calibri" w:hAnsi="Calibri" w:cs="Times New Roman"/>
          <w:sz w:val="24"/>
          <w:szCs w:val="24"/>
        </w:rPr>
        <w:t xml:space="preserve"> по чл. 14, </w:t>
      </w:r>
      <w:proofErr w:type="spellStart"/>
      <w:r w:rsidR="008326C7" w:rsidRPr="00BD3276">
        <w:rPr>
          <w:rFonts w:ascii="Calibri" w:eastAsia="Calibri" w:hAnsi="Calibri" w:cs="Times New Roman"/>
          <w:sz w:val="24"/>
          <w:szCs w:val="24"/>
        </w:rPr>
        <w:t>пар</w:t>
      </w:r>
      <w:proofErr w:type="spellEnd"/>
      <w:r w:rsidR="008326C7" w:rsidRPr="00BD3276">
        <w:rPr>
          <w:rFonts w:ascii="Calibri" w:eastAsia="Calibri" w:hAnsi="Calibri" w:cs="Times New Roman"/>
          <w:sz w:val="24"/>
          <w:szCs w:val="24"/>
        </w:rPr>
        <w:t xml:space="preserve">. 13 от </w:t>
      </w:r>
      <w:r w:rsidR="00DD3AB5" w:rsidRPr="00BD3276">
        <w:rPr>
          <w:rFonts w:ascii="Calibri" w:eastAsia="Calibri" w:hAnsi="Calibri" w:cs="Times New Roman"/>
          <w:sz w:val="24"/>
          <w:szCs w:val="24"/>
        </w:rPr>
        <w:t>регламента</w:t>
      </w:r>
      <w:r w:rsidR="008326C7" w:rsidRPr="00BD3276">
        <w:rPr>
          <w:rFonts w:ascii="Calibri" w:eastAsia="Calibri" w:hAnsi="Calibri" w:cs="Times New Roman"/>
          <w:sz w:val="24"/>
          <w:szCs w:val="24"/>
        </w:rPr>
        <w:t xml:space="preserve"> е над левовата равностойност на 50 000 </w:t>
      </w:r>
      <w:proofErr w:type="spellStart"/>
      <w:r w:rsidR="008326C7" w:rsidRPr="00BD3276">
        <w:rPr>
          <w:rFonts w:ascii="Calibri" w:eastAsia="Calibri" w:hAnsi="Calibri" w:cs="Times New Roman"/>
          <w:sz w:val="24"/>
          <w:szCs w:val="24"/>
        </w:rPr>
        <w:t>000</w:t>
      </w:r>
      <w:proofErr w:type="spellEnd"/>
      <w:r w:rsidR="008326C7" w:rsidRPr="00BD3276">
        <w:rPr>
          <w:rFonts w:ascii="Calibri" w:eastAsia="Calibri" w:hAnsi="Calibri" w:cs="Times New Roman"/>
          <w:sz w:val="24"/>
          <w:szCs w:val="24"/>
        </w:rPr>
        <w:t xml:space="preserve"> евро.</w:t>
      </w:r>
    </w:p>
    <w:p w:rsidR="008326C7" w:rsidRPr="00BD3276" w:rsidRDefault="008326C7" w:rsidP="008326C7">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C70AE3" w:rsidRPr="00BD3276" w:rsidRDefault="00C70AE3" w:rsidP="00C70AE3">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BD3276">
        <w:rPr>
          <w:rFonts w:ascii="Calibri" w:eastAsia="Calibri" w:hAnsi="Calibri" w:cs="Times New Roman"/>
          <w:sz w:val="24"/>
          <w:szCs w:val="24"/>
        </w:rPr>
        <w:t>Единен инвестиционен проект е всяка първоначална инвестиция, започната от един и същ бенефициент (на равнище група) в срок от три години, считано от датата на започване</w:t>
      </w:r>
      <w:r w:rsidR="00A43E94" w:rsidRPr="00BD3276">
        <w:rPr>
          <w:rStyle w:val="FootnoteReference"/>
          <w:rFonts w:ascii="Calibri" w:eastAsia="Calibri" w:hAnsi="Calibri" w:cs="Times New Roman"/>
          <w:sz w:val="24"/>
          <w:szCs w:val="24"/>
        </w:rPr>
        <w:footnoteReference w:id="5"/>
      </w:r>
      <w:r w:rsidRPr="00BD3276">
        <w:rPr>
          <w:rFonts w:ascii="Calibri" w:eastAsia="Calibri" w:hAnsi="Calibri" w:cs="Times New Roman"/>
          <w:sz w:val="24"/>
          <w:szCs w:val="24"/>
        </w:rPr>
        <w:t xml:space="preserve"> на работите по друга подпомогната инвестиция в същия регион от ниво 3 по Общата класификация на териториалните единици за статистически цели</w:t>
      </w:r>
      <w:r w:rsidRPr="00BD3276">
        <w:rPr>
          <w:rStyle w:val="FootnoteReference"/>
          <w:rFonts w:ascii="Calibri" w:eastAsia="Calibri" w:hAnsi="Calibri" w:cs="Times New Roman"/>
          <w:sz w:val="24"/>
          <w:szCs w:val="24"/>
        </w:rPr>
        <w:footnoteReference w:id="6"/>
      </w:r>
      <w:r w:rsidRPr="00BD3276">
        <w:rPr>
          <w:rFonts w:ascii="Calibri" w:eastAsia="Calibri" w:hAnsi="Calibri" w:cs="Times New Roman"/>
          <w:sz w:val="24"/>
          <w:szCs w:val="24"/>
        </w:rPr>
        <w:t>,.</w:t>
      </w:r>
    </w:p>
    <w:p w:rsidR="00C70AE3" w:rsidRPr="00BD3276" w:rsidRDefault="00C70AE3"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p>
    <w:p w:rsidR="005A568C" w:rsidRDefault="005A568C" w:rsidP="000B3CFC">
      <w:pPr>
        <w:pBdr>
          <w:top w:val="single" w:sz="4" w:space="1" w:color="auto"/>
          <w:left w:val="single" w:sz="4" w:space="4" w:color="auto"/>
          <w:bottom w:val="single" w:sz="4" w:space="1" w:color="auto"/>
          <w:right w:val="single" w:sz="4" w:space="4" w:color="auto"/>
        </w:pBdr>
        <w:spacing w:after="360" w:line="240" w:lineRule="auto"/>
        <w:contextualSpacing/>
        <w:jc w:val="both"/>
        <w:rPr>
          <w:sz w:val="24"/>
          <w:szCs w:val="24"/>
        </w:rPr>
      </w:pPr>
    </w:p>
    <w:p w:rsidR="00111D0D"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Pr>
          <w:rFonts w:ascii="Calibri" w:eastAsia="Calibri" w:hAnsi="Calibri" w:cs="Times New Roman"/>
          <w:b/>
          <w:bCs/>
          <w:sz w:val="24"/>
          <w:szCs w:val="24"/>
        </w:rPr>
        <w:t>2</w:t>
      </w:r>
      <w:r w:rsidRPr="00A666DD">
        <w:rPr>
          <w:rFonts w:ascii="Calibri" w:eastAsia="Calibri" w:hAnsi="Calibri" w:cs="Times New Roman"/>
          <w:b/>
          <w:bCs/>
          <w:sz w:val="24"/>
          <w:szCs w:val="24"/>
        </w:rPr>
        <w:t>)</w:t>
      </w:r>
      <w:r>
        <w:rPr>
          <w:rFonts w:ascii="Calibri" w:eastAsia="Calibri" w:hAnsi="Calibri" w:cs="Times New Roman"/>
          <w:bCs/>
          <w:sz w:val="24"/>
          <w:szCs w:val="24"/>
        </w:rPr>
        <w:t xml:space="preserve"> </w:t>
      </w:r>
      <w:r w:rsidRPr="00232BE0">
        <w:rPr>
          <w:rFonts w:ascii="Calibri" w:eastAsia="Calibri" w:hAnsi="Calibri" w:cs="Times New Roman"/>
          <w:b/>
          <w:bCs/>
          <w:sz w:val="24"/>
          <w:szCs w:val="24"/>
        </w:rPr>
        <w:t>В случай на минимална помощ</w:t>
      </w:r>
    </w:p>
    <w:p w:rsidR="00111D0D"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666DD">
        <w:rPr>
          <w:rFonts w:ascii="Calibri" w:eastAsia="Calibri" w:hAnsi="Calibri" w:cs="Times New Roman"/>
          <w:bCs/>
          <w:sz w:val="24"/>
          <w:szCs w:val="24"/>
        </w:rPr>
        <w:t>Максималният размер</w:t>
      </w:r>
      <w:r>
        <w:rPr>
          <w:rFonts w:ascii="Calibri" w:eastAsia="Calibri" w:hAnsi="Calibri" w:cs="Times New Roman"/>
          <w:bCs/>
          <w:sz w:val="24"/>
          <w:szCs w:val="24"/>
        </w:rPr>
        <w:t xml:space="preserve"> на помощта по режим </w:t>
      </w:r>
      <w:r>
        <w:rPr>
          <w:rFonts w:ascii="Calibri" w:eastAsia="Calibri" w:hAnsi="Calibri" w:cs="Times New Roman"/>
          <w:bCs/>
          <w:sz w:val="24"/>
          <w:szCs w:val="24"/>
          <w:lang w:val="en-US"/>
        </w:rPr>
        <w:t>de minimis</w:t>
      </w:r>
      <w:r>
        <w:rPr>
          <w:rFonts w:ascii="Calibri" w:eastAsia="Calibri" w:hAnsi="Calibri" w:cs="Times New Roman"/>
          <w:bCs/>
          <w:sz w:val="24"/>
          <w:szCs w:val="24"/>
        </w:rPr>
        <w:t>,</w:t>
      </w:r>
      <w:r w:rsidRPr="00A666DD">
        <w:rPr>
          <w:rFonts w:ascii="Calibri" w:eastAsia="Calibri" w:hAnsi="Calibri" w:cs="Times New Roman"/>
          <w:bCs/>
          <w:sz w:val="24"/>
          <w:szCs w:val="24"/>
        </w:rPr>
        <w:t xml:space="preserve"> </w:t>
      </w:r>
      <w:r>
        <w:rPr>
          <w:rFonts w:ascii="Calibri" w:eastAsia="Calibri" w:hAnsi="Calibri" w:cs="Times New Roman"/>
          <w:bCs/>
          <w:sz w:val="24"/>
          <w:szCs w:val="24"/>
        </w:rPr>
        <w:t>за която се кандидатства</w:t>
      </w:r>
      <w:r w:rsidRPr="00A666DD">
        <w:rPr>
          <w:rFonts w:ascii="Calibri" w:eastAsia="Calibri" w:hAnsi="Calibri" w:cs="Times New Roman"/>
          <w:bCs/>
          <w:sz w:val="24"/>
          <w:szCs w:val="24"/>
        </w:rPr>
        <w:t xml:space="preserve"> заедно с другите получени минимални помощи, не може да надхвърля левовата равностойност на 200 000 евро </w:t>
      </w:r>
      <w:r>
        <w:rPr>
          <w:rFonts w:ascii="Calibri" w:eastAsia="Calibri" w:hAnsi="Calibri" w:cs="Times New Roman"/>
          <w:bCs/>
          <w:sz w:val="24"/>
          <w:szCs w:val="24"/>
        </w:rPr>
        <w:t xml:space="preserve">и съответно левовата равностойност на 100 000 евро в случай на едно и също предприятие, което осъществява шосейни товарни превози за чужда сметка </w:t>
      </w:r>
      <w:r w:rsidRPr="00A666DD">
        <w:rPr>
          <w:rFonts w:ascii="Calibri" w:eastAsia="Calibri" w:hAnsi="Calibri" w:cs="Times New Roman"/>
          <w:bCs/>
          <w:sz w:val="24"/>
          <w:szCs w:val="24"/>
        </w:rPr>
        <w:t>за период от три бюджетни години</w:t>
      </w:r>
      <w:r>
        <w:rPr>
          <w:rFonts w:ascii="Calibri" w:eastAsia="Calibri" w:hAnsi="Calibri" w:cs="Times New Roman"/>
          <w:bCs/>
          <w:sz w:val="24"/>
          <w:szCs w:val="24"/>
        </w:rPr>
        <w:t>.</w:t>
      </w:r>
    </w:p>
    <w:p w:rsidR="00111D0D" w:rsidRPr="00A723AB"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723AB">
        <w:rPr>
          <w:rFonts w:ascii="Calibri" w:eastAsia="Calibri" w:hAnsi="Calibri" w:cs="Times New Roman"/>
          <w:bCs/>
          <w:sz w:val="24"/>
          <w:szCs w:val="24"/>
        </w:rPr>
        <w:t xml:space="preserve">Размерът на получените минимални помощи се определя като сбор от </w:t>
      </w:r>
      <w:r>
        <w:rPr>
          <w:rFonts w:ascii="Calibri" w:eastAsia="Calibri" w:hAnsi="Calibri" w:cs="Times New Roman"/>
          <w:bCs/>
          <w:sz w:val="24"/>
          <w:szCs w:val="24"/>
        </w:rPr>
        <w:t xml:space="preserve">помощта, за която се кандидатства и </w:t>
      </w:r>
      <w:r w:rsidRPr="00A723AB">
        <w:rPr>
          <w:rFonts w:ascii="Calibri" w:eastAsia="Calibri" w:hAnsi="Calibri" w:cs="Times New Roman"/>
          <w:bCs/>
          <w:sz w:val="24"/>
          <w:szCs w:val="24"/>
        </w:rPr>
        <w:t>получената минимална помощ от:</w:t>
      </w:r>
    </w:p>
    <w:p w:rsidR="00111D0D" w:rsidRPr="00A723AB"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723AB">
        <w:rPr>
          <w:rFonts w:ascii="Calibri" w:eastAsia="Calibri" w:hAnsi="Calibri" w:cs="Times New Roman"/>
          <w:bCs/>
          <w:sz w:val="24"/>
          <w:szCs w:val="24"/>
        </w:rPr>
        <w:t>•</w:t>
      </w:r>
      <w:r w:rsidRPr="00A723AB">
        <w:rPr>
          <w:rFonts w:ascii="Calibri" w:eastAsia="Calibri" w:hAnsi="Calibri" w:cs="Times New Roman"/>
          <w:bCs/>
          <w:sz w:val="24"/>
          <w:szCs w:val="24"/>
        </w:rPr>
        <w:tab/>
        <w:t>предприятието</w:t>
      </w:r>
      <w:r>
        <w:rPr>
          <w:rFonts w:ascii="Calibri" w:eastAsia="Calibri" w:hAnsi="Calibri" w:cs="Times New Roman"/>
          <w:bCs/>
          <w:sz w:val="24"/>
          <w:szCs w:val="24"/>
        </w:rPr>
        <w:t xml:space="preserve"> кандидат</w:t>
      </w:r>
      <w:r w:rsidRPr="00A723AB">
        <w:rPr>
          <w:rFonts w:ascii="Calibri" w:eastAsia="Calibri" w:hAnsi="Calibri" w:cs="Times New Roman"/>
          <w:bCs/>
          <w:sz w:val="24"/>
          <w:szCs w:val="24"/>
        </w:rPr>
        <w:t>;</w:t>
      </w:r>
    </w:p>
    <w:p w:rsidR="00111D0D" w:rsidRPr="00A723AB"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723AB">
        <w:rPr>
          <w:rFonts w:ascii="Calibri" w:eastAsia="Calibri" w:hAnsi="Calibri" w:cs="Times New Roman"/>
          <w:bCs/>
          <w:sz w:val="24"/>
          <w:szCs w:val="24"/>
        </w:rPr>
        <w:t>•</w:t>
      </w:r>
      <w:r w:rsidRPr="00A723AB">
        <w:rPr>
          <w:rFonts w:ascii="Calibri" w:eastAsia="Calibri" w:hAnsi="Calibri" w:cs="Times New Roman"/>
          <w:bCs/>
          <w:sz w:val="24"/>
          <w:szCs w:val="24"/>
        </w:rPr>
        <w:tab/>
        <w:t>предприятията, с които предприятие</w:t>
      </w:r>
      <w:r>
        <w:rPr>
          <w:rFonts w:ascii="Calibri" w:eastAsia="Calibri" w:hAnsi="Calibri" w:cs="Times New Roman"/>
          <w:bCs/>
          <w:sz w:val="24"/>
          <w:szCs w:val="24"/>
        </w:rPr>
        <w:t>то кандидат</w:t>
      </w:r>
      <w:r w:rsidRPr="00A723AB">
        <w:rPr>
          <w:rFonts w:ascii="Calibri" w:eastAsia="Calibri" w:hAnsi="Calibri" w:cs="Times New Roman"/>
          <w:bCs/>
          <w:sz w:val="24"/>
          <w:szCs w:val="24"/>
        </w:rPr>
        <w:t xml:space="preserve"> образува „едно и също предприятие“ по смисъла на чл. 2, </w:t>
      </w:r>
      <w:proofErr w:type="spellStart"/>
      <w:r w:rsidRPr="00A723AB">
        <w:rPr>
          <w:rFonts w:ascii="Calibri" w:eastAsia="Calibri" w:hAnsi="Calibri" w:cs="Times New Roman"/>
          <w:bCs/>
          <w:sz w:val="24"/>
          <w:szCs w:val="24"/>
        </w:rPr>
        <w:t>пар</w:t>
      </w:r>
      <w:proofErr w:type="spellEnd"/>
      <w:r w:rsidRPr="00A723AB">
        <w:rPr>
          <w:rFonts w:ascii="Calibri" w:eastAsia="Calibri" w:hAnsi="Calibri" w:cs="Times New Roman"/>
          <w:bCs/>
          <w:sz w:val="24"/>
          <w:szCs w:val="24"/>
        </w:rPr>
        <w:t>. 2 на Регламент (ЕС) № 1407/2013</w:t>
      </w:r>
      <w:r>
        <w:rPr>
          <w:rFonts w:ascii="Calibri" w:eastAsia="Calibri" w:hAnsi="Calibri" w:cs="Times New Roman"/>
          <w:bCs/>
          <w:sz w:val="24"/>
          <w:szCs w:val="24"/>
        </w:rPr>
        <w:t xml:space="preserve"> и Приложение </w:t>
      </w:r>
      <w:r w:rsidR="00CA1955" w:rsidRPr="00CA1955">
        <w:rPr>
          <w:rFonts w:ascii="Calibri" w:eastAsia="Calibri" w:hAnsi="Calibri" w:cs="Times New Roman"/>
          <w:bCs/>
          <w:sz w:val="24"/>
          <w:szCs w:val="24"/>
        </w:rPr>
        <w:t>Ш</w:t>
      </w:r>
      <w:r w:rsidRPr="00CA1955">
        <w:rPr>
          <w:rFonts w:ascii="Calibri" w:eastAsia="Calibri" w:hAnsi="Calibri" w:cs="Times New Roman"/>
          <w:bCs/>
          <w:sz w:val="24"/>
          <w:szCs w:val="24"/>
        </w:rPr>
        <w:t xml:space="preserve"> към</w:t>
      </w:r>
      <w:r>
        <w:rPr>
          <w:rFonts w:ascii="Calibri" w:eastAsia="Calibri" w:hAnsi="Calibri" w:cs="Times New Roman"/>
          <w:bCs/>
          <w:sz w:val="24"/>
          <w:szCs w:val="24"/>
        </w:rPr>
        <w:t xml:space="preserve"> настоящите Насоки</w:t>
      </w:r>
      <w:r w:rsidRPr="00A723AB">
        <w:rPr>
          <w:rFonts w:ascii="Calibri" w:eastAsia="Calibri" w:hAnsi="Calibri" w:cs="Times New Roman"/>
          <w:bCs/>
          <w:sz w:val="24"/>
          <w:szCs w:val="24"/>
        </w:rPr>
        <w:t>;</w:t>
      </w:r>
    </w:p>
    <w:p w:rsidR="00111D0D" w:rsidRPr="00A723AB"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723AB">
        <w:rPr>
          <w:rFonts w:ascii="Calibri" w:eastAsia="Calibri" w:hAnsi="Calibri" w:cs="Times New Roman"/>
          <w:bCs/>
          <w:sz w:val="24"/>
          <w:szCs w:val="24"/>
        </w:rPr>
        <w:t>•</w:t>
      </w:r>
      <w:r w:rsidRPr="00A723AB">
        <w:rPr>
          <w:rFonts w:ascii="Calibri" w:eastAsia="Calibri" w:hAnsi="Calibri" w:cs="Times New Roman"/>
          <w:bCs/>
          <w:sz w:val="24"/>
          <w:szCs w:val="24"/>
        </w:rPr>
        <w:tab/>
        <w:t xml:space="preserve">всички предприятия, които са се влели, слели с или са придобити от някое от предприятията,  образуващи „едно и също предприятие“ </w:t>
      </w:r>
      <w:r>
        <w:rPr>
          <w:rFonts w:ascii="Calibri" w:eastAsia="Calibri" w:hAnsi="Calibri" w:cs="Times New Roman"/>
          <w:bCs/>
          <w:sz w:val="24"/>
          <w:szCs w:val="24"/>
        </w:rPr>
        <w:t xml:space="preserve">с предприятието кандидат </w:t>
      </w:r>
      <w:r w:rsidRPr="00A723AB">
        <w:rPr>
          <w:rFonts w:ascii="Calibri" w:eastAsia="Calibri" w:hAnsi="Calibri" w:cs="Times New Roman"/>
          <w:bCs/>
          <w:sz w:val="24"/>
          <w:szCs w:val="24"/>
        </w:rPr>
        <w:t xml:space="preserve">съгласно чл. 3, </w:t>
      </w:r>
      <w:proofErr w:type="spellStart"/>
      <w:r w:rsidRPr="00A723AB">
        <w:rPr>
          <w:rFonts w:ascii="Calibri" w:eastAsia="Calibri" w:hAnsi="Calibri" w:cs="Times New Roman"/>
          <w:bCs/>
          <w:sz w:val="24"/>
          <w:szCs w:val="24"/>
        </w:rPr>
        <w:t>пар</w:t>
      </w:r>
      <w:proofErr w:type="spellEnd"/>
      <w:r w:rsidRPr="00A723AB">
        <w:rPr>
          <w:rFonts w:ascii="Calibri" w:eastAsia="Calibri" w:hAnsi="Calibri" w:cs="Times New Roman"/>
          <w:bCs/>
          <w:sz w:val="24"/>
          <w:szCs w:val="24"/>
        </w:rPr>
        <w:t>. 8 на Регламент (ЕС) № 1407/2013;</w:t>
      </w:r>
    </w:p>
    <w:p w:rsidR="00111D0D" w:rsidRPr="00A723AB"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A723AB">
        <w:rPr>
          <w:rFonts w:ascii="Calibri" w:eastAsia="Calibri" w:hAnsi="Calibri" w:cs="Times New Roman"/>
          <w:bCs/>
          <w:sz w:val="24"/>
          <w:szCs w:val="24"/>
        </w:rPr>
        <w:t>•</w:t>
      </w:r>
      <w:r w:rsidRPr="00A723AB">
        <w:rPr>
          <w:rFonts w:ascii="Calibri" w:eastAsia="Calibri" w:hAnsi="Calibri" w:cs="Times New Roman"/>
          <w:bCs/>
          <w:sz w:val="24"/>
          <w:szCs w:val="24"/>
        </w:rPr>
        <w:tab/>
        <w:t>предприятията, образуващи „едно и също предприятие“</w:t>
      </w:r>
      <w:r>
        <w:rPr>
          <w:rFonts w:ascii="Calibri" w:eastAsia="Calibri" w:hAnsi="Calibri" w:cs="Times New Roman"/>
          <w:bCs/>
          <w:sz w:val="24"/>
          <w:szCs w:val="24"/>
        </w:rPr>
        <w:t xml:space="preserve"> с предприятието кандидат</w:t>
      </w:r>
      <w:r w:rsidRPr="00A723AB">
        <w:rPr>
          <w:rFonts w:ascii="Calibri" w:eastAsia="Calibri" w:hAnsi="Calibri" w:cs="Times New Roman"/>
          <w:bCs/>
          <w:sz w:val="24"/>
          <w:szCs w:val="24"/>
        </w:rPr>
        <w:t>,</w:t>
      </w:r>
      <w:r w:rsidR="009F10B5">
        <w:rPr>
          <w:rFonts w:ascii="Calibri" w:eastAsia="Calibri" w:hAnsi="Calibri" w:cs="Times New Roman"/>
          <w:bCs/>
          <w:sz w:val="24"/>
          <w:szCs w:val="24"/>
        </w:rPr>
        <w:t xml:space="preserve"> </w:t>
      </w:r>
      <w:r>
        <w:rPr>
          <w:rFonts w:ascii="Calibri" w:eastAsia="Calibri" w:hAnsi="Calibri" w:cs="Times New Roman"/>
          <w:bCs/>
          <w:sz w:val="24"/>
          <w:szCs w:val="24"/>
        </w:rPr>
        <w:t>които са се</w:t>
      </w:r>
      <w:r w:rsidRPr="0013573D">
        <w:t xml:space="preserve"> </w:t>
      </w:r>
      <w:r>
        <w:rPr>
          <w:rFonts w:ascii="Calibri" w:eastAsia="Calibri" w:hAnsi="Calibri" w:cs="Times New Roman"/>
          <w:bCs/>
          <w:sz w:val="24"/>
          <w:szCs w:val="24"/>
        </w:rPr>
        <w:t>възползвали</w:t>
      </w:r>
      <w:r w:rsidRPr="0013573D">
        <w:rPr>
          <w:rFonts w:ascii="Calibri" w:eastAsia="Calibri" w:hAnsi="Calibri" w:cs="Times New Roman"/>
          <w:bCs/>
          <w:sz w:val="24"/>
          <w:szCs w:val="24"/>
        </w:rPr>
        <w:t xml:space="preserve"> от помощ </w:t>
      </w:r>
      <w:proofErr w:type="spellStart"/>
      <w:r w:rsidRPr="0013573D">
        <w:rPr>
          <w:rFonts w:ascii="Calibri" w:eastAsia="Calibri" w:hAnsi="Calibri" w:cs="Times New Roman"/>
          <w:bCs/>
          <w:sz w:val="24"/>
          <w:szCs w:val="24"/>
        </w:rPr>
        <w:t>de</w:t>
      </w:r>
      <w:proofErr w:type="spellEnd"/>
      <w:r w:rsidRPr="0013573D">
        <w:rPr>
          <w:rFonts w:ascii="Calibri" w:eastAsia="Calibri" w:hAnsi="Calibri" w:cs="Times New Roman"/>
          <w:bCs/>
          <w:sz w:val="24"/>
          <w:szCs w:val="24"/>
        </w:rPr>
        <w:t xml:space="preserve"> minimis, получена преди разделяне или отделяне</w:t>
      </w:r>
      <w:r>
        <w:rPr>
          <w:rFonts w:ascii="Calibri" w:eastAsia="Calibri" w:hAnsi="Calibri" w:cs="Times New Roman"/>
          <w:bCs/>
          <w:sz w:val="24"/>
          <w:szCs w:val="24"/>
        </w:rPr>
        <w:t>, съгласно</w:t>
      </w:r>
      <w:r w:rsidRPr="00A723AB">
        <w:rPr>
          <w:rFonts w:ascii="Calibri" w:eastAsia="Calibri" w:hAnsi="Calibri" w:cs="Times New Roman"/>
          <w:bCs/>
          <w:sz w:val="24"/>
          <w:szCs w:val="24"/>
        </w:rPr>
        <w:t xml:space="preserve"> чл. 3, </w:t>
      </w:r>
      <w:proofErr w:type="spellStart"/>
      <w:r w:rsidRPr="00A723AB">
        <w:rPr>
          <w:rFonts w:ascii="Calibri" w:eastAsia="Calibri" w:hAnsi="Calibri" w:cs="Times New Roman"/>
          <w:bCs/>
          <w:sz w:val="24"/>
          <w:szCs w:val="24"/>
        </w:rPr>
        <w:t>пар</w:t>
      </w:r>
      <w:proofErr w:type="spellEnd"/>
      <w:r w:rsidRPr="00A723AB">
        <w:rPr>
          <w:rFonts w:ascii="Calibri" w:eastAsia="Calibri" w:hAnsi="Calibri" w:cs="Times New Roman"/>
          <w:bCs/>
          <w:sz w:val="24"/>
          <w:szCs w:val="24"/>
        </w:rPr>
        <w:t>. 9 от Регламент (ЕС) № 1407/2013.</w:t>
      </w:r>
    </w:p>
    <w:p w:rsidR="00111D0D" w:rsidRDefault="00111D0D"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Pr>
          <w:rFonts w:ascii="Calibri" w:eastAsia="Calibri" w:hAnsi="Calibri" w:cs="Times New Roman"/>
          <w:bCs/>
          <w:sz w:val="24"/>
          <w:szCs w:val="24"/>
        </w:rPr>
        <w:lastRenderedPageBreak/>
        <w:t>В случай че кандидатът е заявил минимална помощ, както по Елемент „Инвестиции“, така и по Елемент „Услуги“, общият размер на помощта следва да бъде в съответствие с горните прагове</w:t>
      </w:r>
      <w:r w:rsidR="00007903">
        <w:rPr>
          <w:rFonts w:ascii="Calibri" w:eastAsia="Calibri" w:hAnsi="Calibri" w:cs="Times New Roman"/>
          <w:bCs/>
          <w:sz w:val="24"/>
          <w:szCs w:val="24"/>
        </w:rPr>
        <w:t>.</w:t>
      </w:r>
    </w:p>
    <w:p w:rsidR="002C55E6" w:rsidRDefault="002C55E6" w:rsidP="00111D0D">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bCs/>
          <w:sz w:val="24"/>
          <w:szCs w:val="24"/>
        </w:rPr>
      </w:pPr>
    </w:p>
    <w:p w:rsidR="005A568C" w:rsidRDefault="005A568C"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p>
    <w:p w:rsidR="00A666DD" w:rsidRDefault="00A666DD"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p>
    <w:p w:rsidR="00153C9B" w:rsidRDefault="00FB171D"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bCs/>
          <w:sz w:val="24"/>
          <w:szCs w:val="24"/>
        </w:rPr>
      </w:pPr>
      <w:r>
        <w:rPr>
          <w:rFonts w:ascii="Calibri" w:eastAsia="Calibri" w:hAnsi="Calibri" w:cs="Times New Roman"/>
          <w:b/>
          <w:bCs/>
          <w:sz w:val="24"/>
          <w:szCs w:val="24"/>
        </w:rPr>
        <w:t>3</w:t>
      </w:r>
      <w:r w:rsidR="00A666DD">
        <w:rPr>
          <w:rFonts w:ascii="Calibri" w:eastAsia="Calibri" w:hAnsi="Calibri" w:cs="Times New Roman"/>
          <w:b/>
          <w:bCs/>
          <w:sz w:val="24"/>
          <w:szCs w:val="24"/>
        </w:rPr>
        <w:t>)</w:t>
      </w:r>
      <w:r w:rsidR="00153C9B">
        <w:rPr>
          <w:rFonts w:ascii="Calibri" w:eastAsia="Calibri" w:hAnsi="Calibri" w:cs="Times New Roman"/>
          <w:b/>
          <w:bCs/>
          <w:sz w:val="24"/>
          <w:szCs w:val="24"/>
        </w:rPr>
        <w:t xml:space="preserve"> В случай на </w:t>
      </w:r>
      <w:r w:rsidR="00153C9B" w:rsidRPr="00153C9B">
        <w:rPr>
          <w:rFonts w:ascii="Calibri" w:eastAsia="Calibri" w:hAnsi="Calibri" w:cs="Times New Roman"/>
          <w:b/>
          <w:bCs/>
          <w:sz w:val="24"/>
          <w:szCs w:val="24"/>
        </w:rPr>
        <w:t>консултантски и помощни услуги за иновации в полза на МСП“</w:t>
      </w:r>
    </w:p>
    <w:p w:rsidR="00064F0E" w:rsidRDefault="00EF1695"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EF1695">
        <w:rPr>
          <w:rFonts w:ascii="Calibri" w:eastAsia="Calibri" w:hAnsi="Calibri" w:cs="Times New Roman"/>
          <w:bCs/>
          <w:sz w:val="24"/>
          <w:szCs w:val="24"/>
        </w:rPr>
        <w:t xml:space="preserve">Максималният размер на помощта по </w:t>
      </w:r>
      <w:r w:rsidR="00E02501">
        <w:rPr>
          <w:rFonts w:ascii="Calibri" w:eastAsia="Calibri" w:hAnsi="Calibri" w:cs="Times New Roman"/>
          <w:bCs/>
          <w:sz w:val="24"/>
          <w:szCs w:val="24"/>
        </w:rPr>
        <w:t>режим „</w:t>
      </w:r>
      <w:r w:rsidR="00255A6A">
        <w:rPr>
          <w:rFonts w:ascii="Calibri" w:eastAsia="Calibri" w:hAnsi="Calibri" w:cs="Times New Roman"/>
          <w:bCs/>
          <w:sz w:val="24"/>
          <w:szCs w:val="24"/>
        </w:rPr>
        <w:t xml:space="preserve">консултантски и </w:t>
      </w:r>
      <w:r w:rsidR="00710A7A">
        <w:rPr>
          <w:rFonts w:ascii="Calibri" w:eastAsia="Calibri" w:hAnsi="Calibri" w:cs="Times New Roman"/>
          <w:bCs/>
          <w:sz w:val="24"/>
          <w:szCs w:val="24"/>
        </w:rPr>
        <w:t>п</w:t>
      </w:r>
      <w:r w:rsidR="00E02501" w:rsidRPr="00E02501">
        <w:rPr>
          <w:rFonts w:ascii="Calibri" w:eastAsia="Calibri" w:hAnsi="Calibri" w:cs="Times New Roman"/>
          <w:bCs/>
          <w:sz w:val="24"/>
          <w:szCs w:val="24"/>
        </w:rPr>
        <w:t>омощ</w:t>
      </w:r>
      <w:r w:rsidR="00255A6A">
        <w:rPr>
          <w:rFonts w:ascii="Calibri" w:eastAsia="Calibri" w:hAnsi="Calibri" w:cs="Times New Roman"/>
          <w:bCs/>
          <w:sz w:val="24"/>
          <w:szCs w:val="24"/>
        </w:rPr>
        <w:t>н</w:t>
      </w:r>
      <w:r w:rsidR="00710A7A">
        <w:rPr>
          <w:rFonts w:ascii="Calibri" w:eastAsia="Calibri" w:hAnsi="Calibri" w:cs="Times New Roman"/>
          <w:bCs/>
          <w:sz w:val="24"/>
          <w:szCs w:val="24"/>
        </w:rPr>
        <w:t>и</w:t>
      </w:r>
      <w:r w:rsidR="00255A6A">
        <w:rPr>
          <w:rFonts w:ascii="Calibri" w:eastAsia="Calibri" w:hAnsi="Calibri" w:cs="Times New Roman"/>
          <w:bCs/>
          <w:sz w:val="24"/>
          <w:szCs w:val="24"/>
        </w:rPr>
        <w:t xml:space="preserve"> услуги</w:t>
      </w:r>
      <w:r w:rsidR="00E02501" w:rsidRPr="00E02501">
        <w:rPr>
          <w:rFonts w:ascii="Calibri" w:eastAsia="Calibri" w:hAnsi="Calibri" w:cs="Times New Roman"/>
          <w:bCs/>
          <w:sz w:val="24"/>
          <w:szCs w:val="24"/>
        </w:rPr>
        <w:t xml:space="preserve"> за иновации в полза на МСП</w:t>
      </w:r>
      <w:r w:rsidR="00E02501">
        <w:rPr>
          <w:rFonts w:ascii="Calibri" w:eastAsia="Calibri" w:hAnsi="Calibri" w:cs="Times New Roman"/>
          <w:bCs/>
          <w:sz w:val="24"/>
          <w:szCs w:val="24"/>
        </w:rPr>
        <w:t>“</w:t>
      </w:r>
      <w:r w:rsidR="00E02501" w:rsidRPr="00E02501">
        <w:rPr>
          <w:rFonts w:ascii="Calibri" w:eastAsia="Calibri" w:hAnsi="Calibri" w:cs="Times New Roman"/>
          <w:bCs/>
          <w:sz w:val="24"/>
          <w:szCs w:val="24"/>
        </w:rPr>
        <w:t xml:space="preserve"> </w:t>
      </w:r>
      <w:r w:rsidRPr="00EF1695">
        <w:rPr>
          <w:rFonts w:ascii="Calibri" w:eastAsia="Calibri" w:hAnsi="Calibri" w:cs="Times New Roman"/>
          <w:bCs/>
          <w:sz w:val="24"/>
          <w:szCs w:val="24"/>
        </w:rPr>
        <w:t>не може да надхвърля прага по чл.</w:t>
      </w:r>
      <w:r w:rsidR="007D221C">
        <w:rPr>
          <w:rFonts w:ascii="Calibri" w:eastAsia="Calibri" w:hAnsi="Calibri" w:cs="Times New Roman"/>
          <w:bCs/>
          <w:sz w:val="24"/>
          <w:szCs w:val="24"/>
        </w:rPr>
        <w:t xml:space="preserve"> </w:t>
      </w:r>
      <w:r w:rsidRPr="00EF1695">
        <w:rPr>
          <w:rFonts w:ascii="Calibri" w:eastAsia="Calibri" w:hAnsi="Calibri" w:cs="Times New Roman"/>
          <w:bCs/>
          <w:sz w:val="24"/>
          <w:szCs w:val="24"/>
        </w:rPr>
        <w:t xml:space="preserve">28, </w:t>
      </w:r>
      <w:proofErr w:type="spellStart"/>
      <w:r w:rsidRPr="00EF1695">
        <w:rPr>
          <w:rFonts w:ascii="Calibri" w:eastAsia="Calibri" w:hAnsi="Calibri" w:cs="Times New Roman"/>
          <w:bCs/>
          <w:sz w:val="24"/>
          <w:szCs w:val="24"/>
        </w:rPr>
        <w:t>пар</w:t>
      </w:r>
      <w:proofErr w:type="spellEnd"/>
      <w:r w:rsidRPr="00EF1695">
        <w:rPr>
          <w:rFonts w:ascii="Calibri" w:eastAsia="Calibri" w:hAnsi="Calibri" w:cs="Times New Roman"/>
          <w:bCs/>
          <w:sz w:val="24"/>
          <w:szCs w:val="24"/>
        </w:rPr>
        <w:t>. 4 от Регламент (ЕС) № 651/2014 – левовата равностойност на 200 000 евро за предприятие за всеки тригодишен период.</w:t>
      </w:r>
    </w:p>
    <w:p w:rsidR="008618DA" w:rsidRDefault="008618DA"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p>
    <w:p w:rsidR="008618DA" w:rsidRDefault="008618DA" w:rsidP="000B3CFC">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Cs/>
          <w:sz w:val="24"/>
          <w:szCs w:val="24"/>
        </w:rPr>
      </w:pPr>
      <w:r w:rsidRPr="002C55E6">
        <w:rPr>
          <w:rFonts w:ascii="Calibri" w:eastAsia="Calibri" w:hAnsi="Calibri" w:cs="Times New Roman"/>
          <w:bCs/>
          <w:sz w:val="24"/>
          <w:szCs w:val="24"/>
        </w:rPr>
        <w:t xml:space="preserve">Праговете, посочени в т. 1), т. 2) и т. 3) не могат да бъдат заобикаляни чрез изкуствено разделяне на проекти със сходни характеристики и бенефициенти. Спазването на праговете по т. 1), т. 2) и т. 3) освен чрез Декларацията </w:t>
      </w:r>
      <w:r w:rsidRPr="002C55E6">
        <w:rPr>
          <w:rFonts w:ascii="Calibri" w:eastAsia="Calibri" w:hAnsi="Calibri" w:cs="Times New Roman"/>
          <w:sz w:val="24"/>
          <w:szCs w:val="24"/>
        </w:rPr>
        <w:t xml:space="preserve">за държавни/минимални помощи по Приложение </w:t>
      </w:r>
      <w:r w:rsidR="00CA1955">
        <w:rPr>
          <w:rFonts w:ascii="Calibri" w:eastAsia="Calibri" w:hAnsi="Calibri" w:cs="Times New Roman"/>
          <w:sz w:val="24"/>
          <w:szCs w:val="24"/>
        </w:rPr>
        <w:t>Д</w:t>
      </w:r>
      <w:r w:rsidRPr="002C55E6">
        <w:rPr>
          <w:rFonts w:ascii="Calibri" w:eastAsia="Calibri" w:hAnsi="Calibri" w:cs="Times New Roman"/>
          <w:sz w:val="24"/>
          <w:szCs w:val="24"/>
        </w:rPr>
        <w:t xml:space="preserve"> ще бъде проверявано и чрез проверка в</w:t>
      </w:r>
      <w:r w:rsidRPr="002C55E6">
        <w:rPr>
          <w:rFonts w:ascii="Calibri" w:eastAsia="Calibri" w:hAnsi="Calibri" w:cs="Times New Roman"/>
        </w:rPr>
        <w:t xml:space="preserve"> </w:t>
      </w:r>
      <w:r w:rsidRPr="002C55E6">
        <w:rPr>
          <w:rFonts w:ascii="Calibri" w:eastAsia="Calibri" w:hAnsi="Calibri" w:cs="Times New Roman"/>
          <w:sz w:val="24"/>
          <w:szCs w:val="24"/>
        </w:rPr>
        <w:t>Информационна система "Регистър на минималните и държавните помощи", в Публичния регистър на Европейската комисия и в</w:t>
      </w:r>
      <w:r w:rsidRPr="002C55E6">
        <w:rPr>
          <w:rFonts w:ascii="Calibri" w:eastAsia="Calibri" w:hAnsi="Calibri" w:cs="Times New Roman"/>
          <w:bCs/>
          <w:sz w:val="24"/>
          <w:szCs w:val="24"/>
        </w:rPr>
        <w:t xml:space="preserve"> Информационната система за управление и наблюдение на Структурните инструменти на ЕС в България (ИСУН)</w:t>
      </w:r>
      <w:r w:rsidR="00AD5C5E">
        <w:rPr>
          <w:rFonts w:ascii="Calibri" w:eastAsia="Calibri" w:hAnsi="Calibri" w:cs="Times New Roman"/>
          <w:bCs/>
          <w:sz w:val="24"/>
          <w:szCs w:val="24"/>
        </w:rPr>
        <w:t xml:space="preserve"> и в </w:t>
      </w:r>
      <w:r w:rsidR="00AD5C5E" w:rsidRPr="00AD5C5E">
        <w:rPr>
          <w:rFonts w:ascii="Calibri" w:eastAsia="Calibri" w:hAnsi="Calibri" w:cs="Times New Roman"/>
          <w:bCs/>
          <w:sz w:val="24"/>
          <w:szCs w:val="24"/>
        </w:rPr>
        <w:t>Информационната система за управление и наблюдение на Структурните инструменти на ЕС в България (ИСУН 2020)</w:t>
      </w:r>
      <w:r w:rsidRPr="002C55E6">
        <w:rPr>
          <w:rFonts w:ascii="Calibri" w:eastAsia="Calibri" w:hAnsi="Calibri" w:cs="Times New Roman"/>
          <w:sz w:val="24"/>
          <w:szCs w:val="24"/>
        </w:rPr>
        <w:t>.</w:t>
      </w:r>
    </w:p>
    <w:p w:rsidR="002325A3" w:rsidRPr="00BD3276" w:rsidRDefault="00CB14EE" w:rsidP="005C1072">
      <w:pPr>
        <w:pStyle w:val="Heading2"/>
        <w:spacing w:before="120" w:after="120"/>
      </w:pPr>
      <w:r w:rsidRPr="00BD3276">
        <w:rPr>
          <w:sz w:val="24"/>
          <w:szCs w:val="24"/>
        </w:rPr>
        <w:t xml:space="preserve">  </w:t>
      </w:r>
      <w:bookmarkStart w:id="11" w:name="_Toc418791442"/>
      <w:r w:rsidRPr="00BD3276">
        <w:t>1</w:t>
      </w:r>
      <w:r w:rsidR="004A58E5" w:rsidRPr="00BD3276">
        <w:t>0</w:t>
      </w:r>
      <w:r w:rsidRPr="00BD3276">
        <w:t>.</w:t>
      </w:r>
      <w:r w:rsidR="004A58E5" w:rsidRPr="00BD3276">
        <w:t xml:space="preserve"> </w:t>
      </w:r>
      <w:r w:rsidR="002325A3" w:rsidRPr="00BD3276">
        <w:t>Процент на съфинансиране</w:t>
      </w:r>
      <w:bookmarkEnd w:id="11"/>
    </w:p>
    <w:p w:rsidR="00606DCF" w:rsidRDefault="007C202C"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 xml:space="preserve">1) </w:t>
      </w:r>
      <w:r w:rsidR="005C1CA2" w:rsidRPr="005C1CA2">
        <w:rPr>
          <w:b/>
          <w:sz w:val="24"/>
          <w:szCs w:val="24"/>
        </w:rPr>
        <w:t>Интензитет на помощта за режим „регионална помощ“</w:t>
      </w:r>
      <w:r w:rsidR="00B349C7">
        <w:rPr>
          <w:b/>
          <w:sz w:val="24"/>
          <w:szCs w:val="24"/>
        </w:rPr>
        <w:t>:</w:t>
      </w:r>
    </w:p>
    <w:p w:rsidR="00944888" w:rsidRPr="00BD3276" w:rsidRDefault="00944888"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Максимален интензитет на безвъзмездната финансова помощ в зависимост от категорията на предприятието-кандидат</w:t>
      </w:r>
      <w:r w:rsidR="00D15B38" w:rsidRPr="00BD3276">
        <w:rPr>
          <w:sz w:val="24"/>
          <w:szCs w:val="24"/>
        </w:rPr>
        <w:t xml:space="preserve"> и мястото на изпълнение на проекта</w:t>
      </w:r>
      <w:r w:rsidRPr="00BD3276">
        <w:rPr>
          <w:sz w:val="24"/>
          <w:szCs w:val="24"/>
        </w:rPr>
        <w:t>:</w:t>
      </w:r>
    </w:p>
    <w:p w:rsidR="00944888" w:rsidRPr="00BD3276" w:rsidRDefault="00944888"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tbl>
      <w:tblPr>
        <w:tblStyle w:val="TableGrid"/>
        <w:tblW w:w="9606" w:type="dxa"/>
        <w:tblLook w:val="04A0" w:firstRow="1" w:lastRow="0" w:firstColumn="1" w:lastColumn="0" w:noHBand="0" w:noVBand="1"/>
      </w:tblPr>
      <w:tblGrid>
        <w:gridCol w:w="3165"/>
        <w:gridCol w:w="3165"/>
        <w:gridCol w:w="3276"/>
      </w:tblGrid>
      <w:tr w:rsidR="00944888" w:rsidRPr="00BD3276" w:rsidTr="00D80454">
        <w:trPr>
          <w:trHeight w:val="285"/>
        </w:trPr>
        <w:tc>
          <w:tcPr>
            <w:tcW w:w="3165" w:type="dxa"/>
            <w:shd w:val="clear" w:color="auto" w:fill="D9D9D9" w:themeFill="background1" w:themeFillShade="D9"/>
            <w:vAlign w:val="center"/>
          </w:tcPr>
          <w:p w:rsidR="00944888" w:rsidRPr="00ED5C93" w:rsidRDefault="00D15B38" w:rsidP="00D80454">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Категория на предприятието</w:t>
            </w:r>
          </w:p>
        </w:tc>
        <w:tc>
          <w:tcPr>
            <w:tcW w:w="3165" w:type="dxa"/>
            <w:shd w:val="clear" w:color="auto" w:fill="D9D9D9" w:themeFill="background1" w:themeFillShade="D9"/>
            <w:vAlign w:val="center"/>
          </w:tcPr>
          <w:p w:rsidR="00FD269E" w:rsidRPr="00ED5C93" w:rsidRDefault="00D15B38" w:rsidP="004340F4">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 xml:space="preserve">Максимален интензитет </w:t>
            </w:r>
            <w:r w:rsidR="00FD269E" w:rsidRPr="00ED5C93">
              <w:rPr>
                <w:rFonts w:asciiTheme="minorHAnsi" w:hAnsiTheme="minorHAnsi" w:cstheme="minorHAnsi"/>
                <w:b/>
                <w:sz w:val="24"/>
                <w:szCs w:val="24"/>
              </w:rPr>
              <w:t>на помощта за дейности</w:t>
            </w:r>
          </w:p>
          <w:p w:rsidR="00944888" w:rsidRPr="00ED5C93" w:rsidRDefault="00FD269E" w:rsidP="00D80454">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i/>
                <w:sz w:val="24"/>
                <w:szCs w:val="24"/>
                <w:u w:val="single"/>
              </w:rPr>
              <w:t>извън</w:t>
            </w:r>
            <w:r w:rsidRPr="00ED5C93">
              <w:rPr>
                <w:rFonts w:asciiTheme="minorHAnsi" w:hAnsiTheme="minorHAnsi" w:cstheme="minorHAnsi"/>
                <w:b/>
                <w:sz w:val="24"/>
                <w:szCs w:val="24"/>
              </w:rPr>
              <w:t xml:space="preserve"> ЮЗР</w:t>
            </w:r>
          </w:p>
        </w:tc>
        <w:tc>
          <w:tcPr>
            <w:tcW w:w="3276" w:type="dxa"/>
            <w:shd w:val="clear" w:color="auto" w:fill="D9D9D9" w:themeFill="background1" w:themeFillShade="D9"/>
            <w:vAlign w:val="center"/>
          </w:tcPr>
          <w:p w:rsidR="00944888" w:rsidRPr="00ED5C93" w:rsidRDefault="00944888" w:rsidP="00D80454">
            <w:pPr>
              <w:pStyle w:val="ListParagraph"/>
              <w:spacing w:after="360"/>
              <w:ind w:left="0"/>
              <w:jc w:val="center"/>
              <w:rPr>
                <w:rFonts w:asciiTheme="minorHAnsi" w:hAnsiTheme="minorHAnsi" w:cstheme="minorHAnsi"/>
                <w:b/>
                <w:sz w:val="24"/>
                <w:szCs w:val="24"/>
              </w:rPr>
            </w:pPr>
          </w:p>
          <w:p w:rsidR="00FD269E" w:rsidRPr="00ED5C93" w:rsidRDefault="00FD269E" w:rsidP="004340F4">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sz w:val="24"/>
                <w:szCs w:val="24"/>
              </w:rPr>
              <w:t>Максимален интензитет на помощта за дейности</w:t>
            </w:r>
          </w:p>
          <w:p w:rsidR="00944888" w:rsidRPr="00ED5C93" w:rsidRDefault="00FD269E" w:rsidP="00FD269E">
            <w:pPr>
              <w:pStyle w:val="ListParagraph"/>
              <w:spacing w:after="360"/>
              <w:ind w:left="0"/>
              <w:jc w:val="center"/>
              <w:rPr>
                <w:rFonts w:asciiTheme="minorHAnsi" w:hAnsiTheme="minorHAnsi" w:cstheme="minorHAnsi"/>
                <w:b/>
                <w:sz w:val="24"/>
                <w:szCs w:val="24"/>
              </w:rPr>
            </w:pPr>
            <w:r w:rsidRPr="00ED5C93">
              <w:rPr>
                <w:rFonts w:asciiTheme="minorHAnsi" w:hAnsiTheme="minorHAnsi" w:cstheme="minorHAnsi"/>
                <w:b/>
                <w:i/>
                <w:sz w:val="24"/>
                <w:szCs w:val="24"/>
                <w:u w:val="single"/>
              </w:rPr>
              <w:t>в</w:t>
            </w:r>
            <w:r w:rsidRPr="00ED5C93">
              <w:rPr>
                <w:rFonts w:asciiTheme="minorHAnsi" w:hAnsiTheme="minorHAnsi" w:cstheme="minorHAnsi"/>
                <w:b/>
                <w:sz w:val="24"/>
                <w:szCs w:val="24"/>
              </w:rPr>
              <w:t xml:space="preserve"> ЮЗР</w:t>
            </w:r>
          </w:p>
        </w:tc>
      </w:tr>
      <w:tr w:rsidR="00944888" w:rsidRPr="00BD3276" w:rsidTr="00FD269E">
        <w:tc>
          <w:tcPr>
            <w:tcW w:w="3165" w:type="dxa"/>
            <w:vAlign w:val="center"/>
          </w:tcPr>
          <w:p w:rsidR="00944888" w:rsidRPr="009C0EC9" w:rsidRDefault="00FD269E" w:rsidP="00FD269E">
            <w:pPr>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Микро и малки предприятия</w:t>
            </w:r>
          </w:p>
        </w:tc>
        <w:tc>
          <w:tcPr>
            <w:tcW w:w="3165" w:type="dxa"/>
            <w:vAlign w:val="center"/>
          </w:tcPr>
          <w:p w:rsidR="00944888" w:rsidRPr="009C0EC9" w:rsidRDefault="005636B3" w:rsidP="00FD269E">
            <w:pPr>
              <w:pStyle w:val="ListParagraph"/>
              <w:spacing w:after="360"/>
              <w:ind w:left="0"/>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70 %</w:t>
            </w:r>
          </w:p>
        </w:tc>
        <w:tc>
          <w:tcPr>
            <w:tcW w:w="3276" w:type="dxa"/>
            <w:vAlign w:val="center"/>
          </w:tcPr>
          <w:p w:rsidR="00944888" w:rsidRPr="009C0EC9" w:rsidRDefault="00944888" w:rsidP="00FD269E">
            <w:pPr>
              <w:pStyle w:val="ListParagraph"/>
              <w:spacing w:after="360"/>
              <w:ind w:left="0"/>
              <w:jc w:val="center"/>
              <w:rPr>
                <w:rFonts w:asciiTheme="minorHAnsi" w:eastAsiaTheme="minorHAnsi" w:hAnsiTheme="minorHAnsi" w:cstheme="minorBidi"/>
                <w:sz w:val="24"/>
                <w:szCs w:val="24"/>
                <w:lang w:eastAsia="en-US"/>
              </w:rPr>
            </w:pPr>
          </w:p>
          <w:p w:rsidR="00944888" w:rsidRPr="009C0EC9" w:rsidRDefault="005636B3" w:rsidP="00FD269E">
            <w:pPr>
              <w:pStyle w:val="ListParagraph"/>
              <w:spacing w:after="360"/>
              <w:ind w:left="0"/>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45 %</w:t>
            </w:r>
          </w:p>
        </w:tc>
      </w:tr>
      <w:tr w:rsidR="00DE6E23" w:rsidRPr="00BD3276" w:rsidTr="00D824A0">
        <w:tc>
          <w:tcPr>
            <w:tcW w:w="3165" w:type="dxa"/>
            <w:vAlign w:val="center"/>
          </w:tcPr>
          <w:p w:rsidR="00DE6E23" w:rsidRPr="009C0EC9" w:rsidRDefault="00FD269E" w:rsidP="00FD269E">
            <w:pPr>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Средни предприятия</w:t>
            </w:r>
          </w:p>
        </w:tc>
        <w:tc>
          <w:tcPr>
            <w:tcW w:w="3165" w:type="dxa"/>
            <w:vAlign w:val="center"/>
          </w:tcPr>
          <w:p w:rsidR="00DE6E23" w:rsidRPr="009C0EC9" w:rsidRDefault="005636B3" w:rsidP="009C0EC9">
            <w:pPr>
              <w:pStyle w:val="ListParagraph"/>
              <w:spacing w:after="360"/>
              <w:ind w:left="0"/>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60 %</w:t>
            </w:r>
          </w:p>
        </w:tc>
        <w:tc>
          <w:tcPr>
            <w:tcW w:w="3276" w:type="dxa"/>
            <w:vAlign w:val="center"/>
          </w:tcPr>
          <w:p w:rsidR="00D824A0" w:rsidRDefault="00D824A0" w:rsidP="00D824A0">
            <w:pPr>
              <w:pStyle w:val="ListParagraph"/>
              <w:spacing w:after="360"/>
              <w:ind w:left="0"/>
              <w:jc w:val="center"/>
              <w:rPr>
                <w:rFonts w:asciiTheme="minorHAnsi" w:eastAsiaTheme="minorHAnsi" w:hAnsiTheme="minorHAnsi" w:cstheme="minorBidi"/>
                <w:sz w:val="24"/>
                <w:szCs w:val="24"/>
                <w:lang w:val="en-US" w:eastAsia="en-US"/>
              </w:rPr>
            </w:pPr>
          </w:p>
          <w:p w:rsidR="00DE6E23" w:rsidRPr="009C0EC9" w:rsidRDefault="005636B3" w:rsidP="00D824A0">
            <w:pPr>
              <w:pStyle w:val="ListParagraph"/>
              <w:spacing w:after="360"/>
              <w:ind w:left="0"/>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35 %</w:t>
            </w:r>
          </w:p>
        </w:tc>
      </w:tr>
      <w:tr w:rsidR="008E04CB" w:rsidRPr="00BD3276" w:rsidTr="00944BE1">
        <w:tc>
          <w:tcPr>
            <w:tcW w:w="3165" w:type="dxa"/>
            <w:vAlign w:val="center"/>
          </w:tcPr>
          <w:p w:rsidR="008E04CB" w:rsidRPr="009C0EC9" w:rsidRDefault="008E04CB" w:rsidP="00FD269E">
            <w:pPr>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Големи предприятия</w:t>
            </w:r>
          </w:p>
        </w:tc>
        <w:tc>
          <w:tcPr>
            <w:tcW w:w="3165" w:type="dxa"/>
            <w:vAlign w:val="center"/>
          </w:tcPr>
          <w:p w:rsidR="008E04CB" w:rsidRPr="009C0EC9" w:rsidRDefault="008E04CB" w:rsidP="00FD269E">
            <w:pPr>
              <w:pStyle w:val="ListParagraph"/>
              <w:spacing w:after="360"/>
              <w:ind w:left="0"/>
              <w:jc w:val="center"/>
              <w:rPr>
                <w:rFonts w:asciiTheme="minorHAnsi" w:eastAsiaTheme="minorHAnsi" w:hAnsiTheme="minorHAnsi" w:cstheme="minorBidi"/>
                <w:sz w:val="24"/>
                <w:szCs w:val="24"/>
                <w:lang w:eastAsia="en-US"/>
              </w:rPr>
            </w:pPr>
            <w:r w:rsidRPr="009C0EC9">
              <w:rPr>
                <w:rFonts w:asciiTheme="minorHAnsi" w:eastAsiaTheme="minorHAnsi" w:hAnsiTheme="minorHAnsi" w:cstheme="minorBidi"/>
                <w:sz w:val="24"/>
                <w:szCs w:val="24"/>
                <w:lang w:eastAsia="en-US"/>
              </w:rPr>
              <w:t>50 %</w:t>
            </w:r>
          </w:p>
        </w:tc>
        <w:tc>
          <w:tcPr>
            <w:tcW w:w="3276" w:type="dxa"/>
            <w:vAlign w:val="center"/>
          </w:tcPr>
          <w:p w:rsidR="000A7E40" w:rsidRDefault="000A7E40" w:rsidP="00806045">
            <w:pPr>
              <w:pStyle w:val="ListParagraph"/>
              <w:spacing w:after="360"/>
              <w:ind w:left="0"/>
              <w:jc w:val="center"/>
              <w:rPr>
                <w:rFonts w:asciiTheme="minorHAnsi" w:eastAsiaTheme="minorHAnsi" w:hAnsiTheme="minorHAnsi" w:cstheme="minorBidi"/>
                <w:sz w:val="24"/>
                <w:szCs w:val="24"/>
                <w:lang w:eastAsia="en-US"/>
              </w:rPr>
            </w:pPr>
          </w:p>
          <w:p w:rsidR="008E04CB" w:rsidRPr="00BA6DF2" w:rsidRDefault="008E04CB" w:rsidP="00806045">
            <w:pPr>
              <w:pStyle w:val="ListParagraph"/>
              <w:spacing w:after="360"/>
              <w:ind w:left="0"/>
              <w:jc w:val="center"/>
              <w:rPr>
                <w:rFonts w:asciiTheme="minorHAnsi" w:eastAsiaTheme="minorHAnsi" w:hAnsiTheme="minorHAnsi" w:cstheme="minorBidi"/>
                <w:sz w:val="24"/>
                <w:szCs w:val="24"/>
                <w:lang w:eastAsia="en-US"/>
              </w:rPr>
            </w:pPr>
            <w:r w:rsidRPr="00944BE1">
              <w:rPr>
                <w:rFonts w:asciiTheme="minorHAnsi" w:eastAsiaTheme="minorHAnsi" w:hAnsiTheme="minorHAnsi" w:cstheme="minorBidi"/>
                <w:sz w:val="24"/>
                <w:szCs w:val="24"/>
                <w:lang w:val="en-US" w:eastAsia="en-US"/>
              </w:rPr>
              <w:t>25 %</w:t>
            </w:r>
          </w:p>
        </w:tc>
      </w:tr>
    </w:tbl>
    <w:p w:rsidR="00025A88" w:rsidRPr="00BD3276" w:rsidRDefault="00025A88" w:rsidP="00025A88">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u w:val="single"/>
        </w:rPr>
      </w:pPr>
    </w:p>
    <w:p w:rsidR="00025A88" w:rsidRDefault="00025A88" w:rsidP="00025A88">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9B4474">
        <w:rPr>
          <w:rFonts w:ascii="Calibri" w:eastAsia="Calibri" w:hAnsi="Calibri" w:cs="Times New Roman"/>
          <w:b/>
          <w:sz w:val="24"/>
          <w:szCs w:val="24"/>
        </w:rPr>
        <w:lastRenderedPageBreak/>
        <w:t xml:space="preserve">ВАЖНО: </w:t>
      </w:r>
      <w:r w:rsidRPr="00BD3276">
        <w:rPr>
          <w:rFonts w:ascii="Calibri" w:eastAsia="Calibri" w:hAnsi="Calibri" w:cs="Times New Roman"/>
          <w:sz w:val="24"/>
          <w:szCs w:val="24"/>
        </w:rPr>
        <w:t>Кандидатът следва да заложи един и същи интензитет за всички разходи в проектното си предложение,</w:t>
      </w:r>
      <w:r w:rsidR="004D47C9">
        <w:rPr>
          <w:rFonts w:ascii="Calibri" w:eastAsia="Calibri" w:hAnsi="Calibri" w:cs="Times New Roman"/>
          <w:sz w:val="24"/>
          <w:szCs w:val="24"/>
        </w:rPr>
        <w:t xml:space="preserve"> финансирани по режим „регионална помощ“, </w:t>
      </w:r>
      <w:r w:rsidRPr="00BD3276">
        <w:rPr>
          <w:rFonts w:ascii="Calibri" w:eastAsia="Calibri" w:hAnsi="Calibri" w:cs="Times New Roman"/>
          <w:sz w:val="24"/>
          <w:szCs w:val="24"/>
        </w:rPr>
        <w:t xml:space="preserve"> с изключение на случаите, когато </w:t>
      </w:r>
      <w:r w:rsidR="009B7784" w:rsidRPr="00BD3276">
        <w:rPr>
          <w:rFonts w:ascii="Calibri" w:eastAsia="Calibri" w:hAnsi="Calibri" w:cs="Times New Roman"/>
          <w:sz w:val="24"/>
          <w:szCs w:val="24"/>
        </w:rPr>
        <w:t xml:space="preserve">проектът </w:t>
      </w:r>
      <w:r w:rsidRPr="00BD3276">
        <w:rPr>
          <w:rFonts w:ascii="Calibri" w:eastAsia="Calibri" w:hAnsi="Calibri" w:cs="Times New Roman"/>
          <w:sz w:val="24"/>
          <w:szCs w:val="24"/>
        </w:rPr>
        <w:t>се изпълнява едновременно в два района с различен максимално допустим интензитет на помощта. В този случай кандидатът следва</w:t>
      </w:r>
      <w:r w:rsidR="00A73844">
        <w:rPr>
          <w:rFonts w:ascii="Calibri" w:eastAsia="Calibri" w:hAnsi="Calibri" w:cs="Times New Roman"/>
          <w:sz w:val="24"/>
          <w:szCs w:val="24"/>
        </w:rPr>
        <w:t xml:space="preserve"> да обособи разходите</w:t>
      </w:r>
      <w:r w:rsidRPr="00BD3276">
        <w:rPr>
          <w:rFonts w:ascii="Calibri" w:eastAsia="Calibri" w:hAnsi="Calibri" w:cs="Times New Roman"/>
          <w:sz w:val="24"/>
          <w:szCs w:val="24"/>
        </w:rPr>
        <w:t xml:space="preserve"> съобразно приложимите  интензитети за съответния район.</w:t>
      </w:r>
    </w:p>
    <w:p w:rsidR="00A73844" w:rsidRDefault="00A73844" w:rsidP="00025A88">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A73844" w:rsidRDefault="007C202C" w:rsidP="00A73844">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2) </w:t>
      </w:r>
      <w:r w:rsidR="00A73844" w:rsidRPr="00A73844">
        <w:rPr>
          <w:rFonts w:ascii="Calibri" w:eastAsia="Calibri" w:hAnsi="Calibri" w:cs="Times New Roman"/>
          <w:b/>
          <w:sz w:val="24"/>
          <w:szCs w:val="24"/>
        </w:rPr>
        <w:t>Интензитет на помощта за режим „</w:t>
      </w:r>
      <w:r w:rsidR="00A73844" w:rsidRPr="00A73844">
        <w:rPr>
          <w:rFonts w:ascii="Calibri" w:eastAsia="Calibri" w:hAnsi="Calibri" w:cs="Times New Roman"/>
          <w:b/>
          <w:sz w:val="24"/>
          <w:szCs w:val="24"/>
          <w:lang w:val="en-US"/>
        </w:rPr>
        <w:t>de</w:t>
      </w:r>
      <w:r w:rsidR="00A73844" w:rsidRPr="00A73844">
        <w:rPr>
          <w:rFonts w:ascii="Calibri" w:eastAsia="Calibri" w:hAnsi="Calibri" w:cs="Times New Roman"/>
          <w:b/>
          <w:sz w:val="24"/>
          <w:szCs w:val="24"/>
        </w:rPr>
        <w:t xml:space="preserve"> </w:t>
      </w:r>
      <w:r w:rsidR="00A73844" w:rsidRPr="00A73844">
        <w:rPr>
          <w:rFonts w:ascii="Calibri" w:eastAsia="Calibri" w:hAnsi="Calibri" w:cs="Times New Roman"/>
          <w:b/>
          <w:sz w:val="24"/>
          <w:szCs w:val="24"/>
          <w:lang w:val="en-US"/>
        </w:rPr>
        <w:t>minimis</w:t>
      </w:r>
      <w:r w:rsidR="00A73844" w:rsidRPr="00A73844">
        <w:rPr>
          <w:rFonts w:ascii="Calibri" w:eastAsia="Calibri" w:hAnsi="Calibri" w:cs="Times New Roman"/>
          <w:b/>
          <w:sz w:val="24"/>
          <w:szCs w:val="24"/>
        </w:rPr>
        <w:t>”</w:t>
      </w:r>
      <w:r w:rsidR="00673679">
        <w:rPr>
          <w:rFonts w:ascii="Calibri" w:eastAsia="Calibri" w:hAnsi="Calibri" w:cs="Times New Roman"/>
          <w:b/>
          <w:sz w:val="24"/>
          <w:szCs w:val="24"/>
        </w:rPr>
        <w:t>:</w:t>
      </w:r>
    </w:p>
    <w:p w:rsidR="00386989" w:rsidRDefault="00386989" w:rsidP="00A73844">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p>
    <w:tbl>
      <w:tblPr>
        <w:tblStyle w:val="TableGrid"/>
        <w:tblW w:w="9606" w:type="dxa"/>
        <w:tblLook w:val="04A0" w:firstRow="1" w:lastRow="0" w:firstColumn="1" w:lastColumn="0" w:noHBand="0" w:noVBand="1"/>
      </w:tblPr>
      <w:tblGrid>
        <w:gridCol w:w="4748"/>
        <w:gridCol w:w="4858"/>
      </w:tblGrid>
      <w:tr w:rsidR="00F57A68" w:rsidTr="009373E1">
        <w:tc>
          <w:tcPr>
            <w:tcW w:w="4748" w:type="dxa"/>
            <w:shd w:val="clear" w:color="auto" w:fill="BFBFBF" w:themeFill="background1" w:themeFillShade="BF"/>
            <w:vAlign w:val="center"/>
          </w:tcPr>
          <w:p w:rsidR="00386989" w:rsidRPr="005A66CE" w:rsidRDefault="00386989" w:rsidP="00386989">
            <w:pPr>
              <w:spacing w:before="360" w:after="360"/>
              <w:contextualSpacing/>
              <w:jc w:val="center"/>
              <w:rPr>
                <w:rFonts w:asciiTheme="minorHAnsi" w:hAnsiTheme="minorHAnsi" w:cstheme="minorHAnsi"/>
                <w:b/>
                <w:sz w:val="24"/>
                <w:szCs w:val="24"/>
              </w:rPr>
            </w:pPr>
          </w:p>
          <w:p w:rsidR="00F57A68" w:rsidRPr="005A66CE" w:rsidRDefault="00386989" w:rsidP="00386989">
            <w:pPr>
              <w:spacing w:before="360" w:after="360"/>
              <w:contextualSpacing/>
              <w:jc w:val="center"/>
              <w:rPr>
                <w:rFonts w:asciiTheme="minorHAnsi" w:hAnsiTheme="minorHAnsi" w:cstheme="minorHAnsi"/>
                <w:b/>
                <w:sz w:val="24"/>
                <w:szCs w:val="24"/>
              </w:rPr>
            </w:pPr>
            <w:r w:rsidRPr="005A66CE">
              <w:rPr>
                <w:rFonts w:asciiTheme="minorHAnsi" w:hAnsiTheme="minorHAnsi" w:cstheme="minorHAnsi"/>
                <w:b/>
                <w:sz w:val="24"/>
                <w:szCs w:val="24"/>
              </w:rPr>
              <w:t>Категория на предприятието</w:t>
            </w:r>
          </w:p>
          <w:p w:rsidR="00386989" w:rsidRPr="005A66CE" w:rsidRDefault="00386989" w:rsidP="00386989">
            <w:pPr>
              <w:spacing w:before="360" w:after="360"/>
              <w:contextualSpacing/>
              <w:jc w:val="center"/>
              <w:rPr>
                <w:rFonts w:asciiTheme="minorHAnsi" w:eastAsia="Calibri" w:hAnsiTheme="minorHAnsi" w:cstheme="minorHAnsi"/>
                <w:b/>
                <w:sz w:val="24"/>
                <w:szCs w:val="24"/>
              </w:rPr>
            </w:pPr>
          </w:p>
        </w:tc>
        <w:tc>
          <w:tcPr>
            <w:tcW w:w="4858" w:type="dxa"/>
            <w:shd w:val="clear" w:color="auto" w:fill="BFBFBF" w:themeFill="background1" w:themeFillShade="BF"/>
            <w:vAlign w:val="center"/>
          </w:tcPr>
          <w:p w:rsidR="00F57A68" w:rsidRPr="005A66CE" w:rsidRDefault="00386989" w:rsidP="00386989">
            <w:pPr>
              <w:spacing w:before="360" w:after="360"/>
              <w:contextualSpacing/>
              <w:jc w:val="center"/>
              <w:rPr>
                <w:rFonts w:asciiTheme="minorHAnsi" w:eastAsia="Calibri" w:hAnsiTheme="minorHAnsi" w:cstheme="minorHAnsi"/>
                <w:b/>
                <w:sz w:val="24"/>
                <w:szCs w:val="24"/>
              </w:rPr>
            </w:pPr>
            <w:r w:rsidRPr="005A66CE">
              <w:rPr>
                <w:rFonts w:asciiTheme="minorHAnsi" w:hAnsiTheme="minorHAnsi" w:cstheme="minorHAnsi"/>
                <w:b/>
                <w:sz w:val="24"/>
                <w:szCs w:val="24"/>
              </w:rPr>
              <w:t>Максимален интензитет на помощта</w:t>
            </w:r>
          </w:p>
        </w:tc>
      </w:tr>
      <w:tr w:rsidR="00F57A68" w:rsidTr="00044D20">
        <w:tc>
          <w:tcPr>
            <w:tcW w:w="4748" w:type="dxa"/>
          </w:tcPr>
          <w:p w:rsidR="009373E1" w:rsidRDefault="009373E1" w:rsidP="00044D20">
            <w:pPr>
              <w:contextualSpacing/>
              <w:jc w:val="both"/>
              <w:rPr>
                <w:rFonts w:asciiTheme="minorHAnsi" w:eastAsiaTheme="minorHAnsi" w:hAnsiTheme="minorHAnsi" w:cstheme="minorBidi"/>
                <w:sz w:val="24"/>
                <w:szCs w:val="24"/>
                <w:lang w:eastAsia="en-US"/>
              </w:rPr>
            </w:pPr>
          </w:p>
          <w:p w:rsidR="009373E1" w:rsidRDefault="009373E1" w:rsidP="009373E1">
            <w:pPr>
              <w:contextualSpacing/>
              <w:jc w:val="cente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Микро, </w:t>
            </w:r>
            <w:r w:rsidRPr="009C0EC9">
              <w:rPr>
                <w:rFonts w:asciiTheme="minorHAnsi" w:eastAsiaTheme="minorHAnsi" w:hAnsiTheme="minorHAnsi" w:cstheme="minorBidi"/>
                <w:sz w:val="24"/>
                <w:szCs w:val="24"/>
                <w:lang w:eastAsia="en-US"/>
              </w:rPr>
              <w:t>малки</w:t>
            </w:r>
            <w:r>
              <w:rPr>
                <w:rFonts w:asciiTheme="minorHAnsi" w:eastAsiaTheme="minorHAnsi" w:hAnsiTheme="minorHAnsi" w:cstheme="minorBidi"/>
                <w:sz w:val="24"/>
                <w:szCs w:val="24"/>
                <w:lang w:eastAsia="en-US"/>
              </w:rPr>
              <w:t xml:space="preserve">, средни и </w:t>
            </w:r>
          </w:p>
          <w:p w:rsidR="00F57A68" w:rsidRDefault="009373E1" w:rsidP="009373E1">
            <w:pPr>
              <w:contextualSpacing/>
              <w:jc w:val="cente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големи</w:t>
            </w:r>
            <w:r w:rsidRPr="009C0EC9">
              <w:rPr>
                <w:rFonts w:asciiTheme="minorHAnsi" w:eastAsiaTheme="minorHAnsi" w:hAnsiTheme="minorHAnsi" w:cstheme="minorBidi"/>
                <w:sz w:val="24"/>
                <w:szCs w:val="24"/>
                <w:lang w:eastAsia="en-US"/>
              </w:rPr>
              <w:t xml:space="preserve"> предприятия</w:t>
            </w:r>
          </w:p>
          <w:p w:rsidR="009373E1" w:rsidRDefault="009373E1" w:rsidP="00044D20">
            <w:pPr>
              <w:contextualSpacing/>
              <w:jc w:val="both"/>
              <w:rPr>
                <w:rFonts w:ascii="Calibri" w:eastAsia="Calibri" w:hAnsi="Calibri"/>
                <w:b/>
                <w:sz w:val="24"/>
                <w:szCs w:val="24"/>
              </w:rPr>
            </w:pPr>
          </w:p>
        </w:tc>
        <w:tc>
          <w:tcPr>
            <w:tcW w:w="4858" w:type="dxa"/>
            <w:vAlign w:val="center"/>
          </w:tcPr>
          <w:p w:rsidR="00F57A68" w:rsidRDefault="00F57A68" w:rsidP="00044D20">
            <w:pPr>
              <w:pStyle w:val="ListParagraph"/>
              <w:ind w:left="0"/>
              <w:jc w:val="center"/>
              <w:rPr>
                <w:rFonts w:ascii="Calibri" w:eastAsia="Calibri" w:hAnsi="Calibri"/>
                <w:b/>
                <w:sz w:val="24"/>
                <w:szCs w:val="24"/>
              </w:rPr>
            </w:pPr>
            <w:r w:rsidRPr="00F57A68">
              <w:rPr>
                <w:rFonts w:asciiTheme="minorHAnsi" w:eastAsiaTheme="minorHAnsi" w:hAnsiTheme="minorHAnsi" w:cstheme="minorBidi"/>
                <w:sz w:val="24"/>
                <w:szCs w:val="24"/>
                <w:lang w:eastAsia="en-US"/>
              </w:rPr>
              <w:t>90 %</w:t>
            </w:r>
          </w:p>
        </w:tc>
      </w:tr>
    </w:tbl>
    <w:p w:rsidR="007C202C" w:rsidRDefault="007C202C" w:rsidP="00A73844">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p>
    <w:p w:rsidR="00673679" w:rsidRDefault="00A73844" w:rsidP="00A73844">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r w:rsidRPr="00A73844">
        <w:rPr>
          <w:rFonts w:ascii="Calibri" w:eastAsia="Calibri" w:hAnsi="Calibri" w:cs="Times New Roman"/>
          <w:sz w:val="24"/>
          <w:szCs w:val="24"/>
        </w:rPr>
        <w:t>Общият размер на помощта „</w:t>
      </w:r>
      <w:proofErr w:type="spellStart"/>
      <w:r w:rsidRPr="00A73844">
        <w:rPr>
          <w:rFonts w:ascii="Calibri" w:eastAsia="Calibri" w:hAnsi="Calibri" w:cs="Times New Roman"/>
          <w:sz w:val="24"/>
          <w:szCs w:val="24"/>
        </w:rPr>
        <w:t>de</w:t>
      </w:r>
      <w:proofErr w:type="spellEnd"/>
      <w:r w:rsidRPr="00A73844">
        <w:rPr>
          <w:rFonts w:ascii="Calibri" w:eastAsia="Calibri" w:hAnsi="Calibri" w:cs="Times New Roman"/>
          <w:sz w:val="24"/>
          <w:szCs w:val="24"/>
        </w:rPr>
        <w:t xml:space="preserve"> minimis”</w:t>
      </w:r>
      <w:r w:rsidR="00AB3724" w:rsidRPr="00AB3724">
        <w:rPr>
          <w:rFonts w:ascii="Calibri" w:eastAsia="Calibri" w:hAnsi="Calibri" w:cs="Times New Roman"/>
          <w:sz w:val="24"/>
          <w:szCs w:val="24"/>
        </w:rPr>
        <w:t xml:space="preserve"> </w:t>
      </w:r>
      <w:r w:rsidR="00AB3724">
        <w:rPr>
          <w:rFonts w:ascii="Calibri" w:eastAsia="Calibri" w:hAnsi="Calibri" w:cs="Times New Roman"/>
          <w:sz w:val="24"/>
          <w:szCs w:val="24"/>
        </w:rPr>
        <w:t>не може да надхвърля праговете, посочени в т. 9 от Насоки</w:t>
      </w:r>
      <w:r w:rsidR="006B1C7B">
        <w:rPr>
          <w:rFonts w:ascii="Calibri" w:eastAsia="Calibri" w:hAnsi="Calibri" w:cs="Times New Roman"/>
          <w:sz w:val="24"/>
          <w:szCs w:val="24"/>
        </w:rPr>
        <w:t>те за кандидатстване.</w:t>
      </w:r>
    </w:p>
    <w:p w:rsidR="004719D6" w:rsidRDefault="004719D6" w:rsidP="00A73844">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673679" w:rsidRDefault="007C202C" w:rsidP="00673679">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r>
        <w:rPr>
          <w:rFonts w:ascii="Calibri" w:eastAsia="Calibri" w:hAnsi="Calibri" w:cs="Times New Roman"/>
          <w:b/>
          <w:sz w:val="24"/>
          <w:szCs w:val="24"/>
        </w:rPr>
        <w:t xml:space="preserve">3) </w:t>
      </w:r>
      <w:r w:rsidR="00673679" w:rsidRPr="00673679">
        <w:rPr>
          <w:rFonts w:ascii="Calibri" w:eastAsia="Calibri" w:hAnsi="Calibri" w:cs="Times New Roman"/>
          <w:b/>
          <w:sz w:val="24"/>
          <w:szCs w:val="24"/>
        </w:rPr>
        <w:t xml:space="preserve">Интензитет на помощта за </w:t>
      </w:r>
      <w:r w:rsidR="00F50C3D" w:rsidRPr="00F50C3D">
        <w:rPr>
          <w:rFonts w:ascii="Calibri" w:eastAsia="Calibri" w:hAnsi="Calibri" w:cs="Times New Roman"/>
          <w:b/>
          <w:sz w:val="24"/>
          <w:szCs w:val="24"/>
        </w:rPr>
        <w:t xml:space="preserve">„консултантски и помощни услуги за иновации в полза на МСП“ не може да надхвърля прага по чл. 28, </w:t>
      </w:r>
      <w:proofErr w:type="spellStart"/>
      <w:r w:rsidR="00F50C3D" w:rsidRPr="00F50C3D">
        <w:rPr>
          <w:rFonts w:ascii="Calibri" w:eastAsia="Calibri" w:hAnsi="Calibri" w:cs="Times New Roman"/>
          <w:b/>
          <w:sz w:val="24"/>
          <w:szCs w:val="24"/>
        </w:rPr>
        <w:t>пар</w:t>
      </w:r>
      <w:proofErr w:type="spellEnd"/>
      <w:r w:rsidR="00F50C3D" w:rsidRPr="00F50C3D">
        <w:rPr>
          <w:rFonts w:ascii="Calibri" w:eastAsia="Calibri" w:hAnsi="Calibri" w:cs="Times New Roman"/>
          <w:b/>
          <w:sz w:val="24"/>
          <w:szCs w:val="24"/>
        </w:rPr>
        <w:t>. 4 от Регламент (ЕС) № 651/2014</w:t>
      </w:r>
      <w:r w:rsidR="00F50C3D">
        <w:rPr>
          <w:rFonts w:ascii="Calibri" w:eastAsia="Calibri" w:hAnsi="Calibri" w:cs="Times New Roman"/>
          <w:b/>
          <w:sz w:val="24"/>
          <w:szCs w:val="24"/>
        </w:rPr>
        <w:t>.</w:t>
      </w:r>
    </w:p>
    <w:p w:rsidR="007C202C" w:rsidRPr="00673679" w:rsidRDefault="00673679" w:rsidP="00673679">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b/>
          <w:sz w:val="24"/>
          <w:szCs w:val="24"/>
        </w:rPr>
      </w:pPr>
      <w:r w:rsidRPr="00673679">
        <w:rPr>
          <w:rFonts w:ascii="Calibri" w:eastAsia="Calibri" w:hAnsi="Calibri" w:cs="Times New Roman"/>
          <w:b/>
          <w:sz w:val="24"/>
          <w:szCs w:val="24"/>
        </w:rPr>
        <w:t xml:space="preserve"> </w:t>
      </w:r>
    </w:p>
    <w:tbl>
      <w:tblPr>
        <w:tblStyle w:val="TableGrid"/>
        <w:tblW w:w="9606" w:type="dxa"/>
        <w:tblLook w:val="04A0" w:firstRow="1" w:lastRow="0" w:firstColumn="1" w:lastColumn="0" w:noHBand="0" w:noVBand="1"/>
      </w:tblPr>
      <w:tblGrid>
        <w:gridCol w:w="4748"/>
        <w:gridCol w:w="4858"/>
      </w:tblGrid>
      <w:tr w:rsidR="007C202C" w:rsidTr="007765DE">
        <w:tc>
          <w:tcPr>
            <w:tcW w:w="4748" w:type="dxa"/>
            <w:shd w:val="clear" w:color="auto" w:fill="BFBFBF" w:themeFill="background1" w:themeFillShade="BF"/>
            <w:vAlign w:val="center"/>
          </w:tcPr>
          <w:p w:rsidR="007C202C" w:rsidRPr="005A66CE" w:rsidRDefault="007C202C" w:rsidP="007765DE">
            <w:pPr>
              <w:spacing w:before="360" w:after="360"/>
              <w:contextualSpacing/>
              <w:jc w:val="center"/>
              <w:rPr>
                <w:rFonts w:asciiTheme="minorHAnsi" w:hAnsiTheme="minorHAnsi" w:cstheme="minorHAnsi"/>
                <w:b/>
                <w:sz w:val="24"/>
              </w:rPr>
            </w:pPr>
          </w:p>
          <w:p w:rsidR="007C202C" w:rsidRPr="005A66CE" w:rsidRDefault="007C202C" w:rsidP="007765DE">
            <w:pPr>
              <w:spacing w:before="360" w:after="360"/>
              <w:contextualSpacing/>
              <w:jc w:val="center"/>
              <w:rPr>
                <w:rFonts w:asciiTheme="minorHAnsi" w:hAnsiTheme="minorHAnsi" w:cstheme="minorHAnsi"/>
                <w:b/>
                <w:sz w:val="24"/>
              </w:rPr>
            </w:pPr>
            <w:r w:rsidRPr="005A66CE">
              <w:rPr>
                <w:rFonts w:asciiTheme="minorHAnsi" w:hAnsiTheme="minorHAnsi" w:cstheme="minorHAnsi"/>
                <w:b/>
                <w:sz w:val="24"/>
              </w:rPr>
              <w:t>Категория на предприятието</w:t>
            </w:r>
          </w:p>
          <w:p w:rsidR="007C202C" w:rsidRPr="005A66CE" w:rsidRDefault="007C202C" w:rsidP="007765DE">
            <w:pPr>
              <w:spacing w:before="360" w:after="360"/>
              <w:contextualSpacing/>
              <w:jc w:val="center"/>
              <w:rPr>
                <w:rFonts w:asciiTheme="minorHAnsi" w:eastAsia="Calibri" w:hAnsiTheme="minorHAnsi" w:cstheme="minorHAnsi"/>
                <w:b/>
                <w:sz w:val="24"/>
                <w:szCs w:val="24"/>
              </w:rPr>
            </w:pPr>
          </w:p>
        </w:tc>
        <w:tc>
          <w:tcPr>
            <w:tcW w:w="4858" w:type="dxa"/>
            <w:shd w:val="clear" w:color="auto" w:fill="BFBFBF" w:themeFill="background1" w:themeFillShade="BF"/>
            <w:vAlign w:val="center"/>
          </w:tcPr>
          <w:p w:rsidR="007C202C" w:rsidRPr="005A66CE" w:rsidRDefault="007C202C" w:rsidP="007765DE">
            <w:pPr>
              <w:spacing w:before="360" w:after="360"/>
              <w:contextualSpacing/>
              <w:jc w:val="center"/>
              <w:rPr>
                <w:rFonts w:asciiTheme="minorHAnsi" w:eastAsia="Calibri" w:hAnsiTheme="minorHAnsi" w:cstheme="minorHAnsi"/>
                <w:b/>
                <w:sz w:val="24"/>
                <w:szCs w:val="24"/>
              </w:rPr>
            </w:pPr>
            <w:r w:rsidRPr="005A66CE">
              <w:rPr>
                <w:rFonts w:asciiTheme="minorHAnsi" w:hAnsiTheme="minorHAnsi" w:cstheme="minorHAnsi"/>
                <w:b/>
                <w:sz w:val="24"/>
              </w:rPr>
              <w:t>Максимален интензитет на помощта</w:t>
            </w:r>
          </w:p>
        </w:tc>
      </w:tr>
      <w:tr w:rsidR="007C202C" w:rsidTr="007765DE">
        <w:tc>
          <w:tcPr>
            <w:tcW w:w="4748" w:type="dxa"/>
          </w:tcPr>
          <w:p w:rsidR="007C202C" w:rsidRDefault="007C202C" w:rsidP="007765DE">
            <w:pPr>
              <w:contextualSpacing/>
              <w:jc w:val="both"/>
              <w:rPr>
                <w:rFonts w:asciiTheme="minorHAnsi" w:eastAsiaTheme="minorHAnsi" w:hAnsiTheme="minorHAnsi" w:cstheme="minorBidi"/>
                <w:sz w:val="24"/>
                <w:szCs w:val="24"/>
                <w:lang w:eastAsia="en-US"/>
              </w:rPr>
            </w:pPr>
          </w:p>
          <w:p w:rsidR="007C202C" w:rsidRDefault="007C202C" w:rsidP="008B7359">
            <w:pPr>
              <w:contextualSpacing/>
              <w:jc w:val="center"/>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Микро, </w:t>
            </w:r>
            <w:r w:rsidRPr="009C0EC9">
              <w:rPr>
                <w:rFonts w:asciiTheme="minorHAnsi" w:eastAsiaTheme="minorHAnsi" w:hAnsiTheme="minorHAnsi" w:cstheme="minorBidi"/>
                <w:sz w:val="24"/>
                <w:szCs w:val="24"/>
                <w:lang w:eastAsia="en-US"/>
              </w:rPr>
              <w:t>малки</w:t>
            </w:r>
            <w:r w:rsidR="008B7359">
              <w:rPr>
                <w:rFonts w:asciiTheme="minorHAnsi" w:eastAsiaTheme="minorHAnsi" w:hAnsiTheme="minorHAnsi" w:cstheme="minorBidi"/>
                <w:sz w:val="24"/>
                <w:szCs w:val="24"/>
                <w:lang w:eastAsia="en-US"/>
              </w:rPr>
              <w:t xml:space="preserve"> и средни </w:t>
            </w:r>
            <w:r w:rsidRPr="009C0EC9">
              <w:rPr>
                <w:rFonts w:asciiTheme="minorHAnsi" w:eastAsiaTheme="minorHAnsi" w:hAnsiTheme="minorHAnsi" w:cstheme="minorBidi"/>
                <w:sz w:val="24"/>
                <w:szCs w:val="24"/>
                <w:lang w:eastAsia="en-US"/>
              </w:rPr>
              <w:t>предприятия</w:t>
            </w:r>
          </w:p>
          <w:p w:rsidR="007C202C" w:rsidRDefault="007C202C" w:rsidP="007765DE">
            <w:pPr>
              <w:contextualSpacing/>
              <w:jc w:val="both"/>
              <w:rPr>
                <w:rFonts w:ascii="Calibri" w:eastAsia="Calibri" w:hAnsi="Calibri"/>
                <w:b/>
                <w:sz w:val="24"/>
                <w:szCs w:val="24"/>
              </w:rPr>
            </w:pPr>
          </w:p>
        </w:tc>
        <w:tc>
          <w:tcPr>
            <w:tcW w:w="4858" w:type="dxa"/>
            <w:vAlign w:val="center"/>
          </w:tcPr>
          <w:p w:rsidR="007C202C" w:rsidRDefault="007C202C" w:rsidP="007765DE">
            <w:pPr>
              <w:pStyle w:val="ListParagraph"/>
              <w:ind w:left="0"/>
              <w:jc w:val="center"/>
              <w:rPr>
                <w:rFonts w:ascii="Calibri" w:eastAsia="Calibri" w:hAnsi="Calibri"/>
                <w:b/>
                <w:sz w:val="24"/>
                <w:szCs w:val="24"/>
              </w:rPr>
            </w:pPr>
            <w:r w:rsidRPr="00F57A68">
              <w:rPr>
                <w:rFonts w:asciiTheme="minorHAnsi" w:eastAsiaTheme="minorHAnsi" w:hAnsiTheme="minorHAnsi" w:cstheme="minorBidi"/>
                <w:sz w:val="24"/>
                <w:szCs w:val="24"/>
                <w:lang w:eastAsia="en-US"/>
              </w:rPr>
              <w:t>90 %</w:t>
            </w:r>
          </w:p>
        </w:tc>
      </w:tr>
    </w:tbl>
    <w:p w:rsidR="00084017" w:rsidRDefault="00084017" w:rsidP="00673679">
      <w:pPr>
        <w:pBdr>
          <w:top w:val="single" w:sz="4" w:space="1" w:color="auto"/>
          <w:left w:val="single" w:sz="4" w:space="4" w:color="auto"/>
          <w:bottom w:val="single" w:sz="4" w:space="1" w:color="auto"/>
          <w:right w:val="single" w:sz="4" w:space="4" w:color="auto"/>
        </w:pBdr>
        <w:spacing w:after="360" w:line="240" w:lineRule="auto"/>
        <w:contextualSpacing/>
        <w:jc w:val="both"/>
        <w:rPr>
          <w:rFonts w:ascii="Calibri" w:eastAsia="Calibri" w:hAnsi="Calibri" w:cs="Times New Roman"/>
          <w:sz w:val="24"/>
          <w:szCs w:val="24"/>
        </w:rPr>
      </w:pPr>
    </w:p>
    <w:p w:rsidR="00673679" w:rsidRPr="00BD3276" w:rsidRDefault="00243784" w:rsidP="00157B99">
      <w:pPr>
        <w:pBdr>
          <w:top w:val="single" w:sz="4" w:space="1" w:color="auto"/>
          <w:left w:val="single" w:sz="4" w:space="4" w:color="auto"/>
          <w:bottom w:val="single" w:sz="4" w:space="1" w:color="auto"/>
          <w:right w:val="single" w:sz="4" w:space="4" w:color="auto"/>
        </w:pBdr>
        <w:spacing w:after="240" w:line="240" w:lineRule="auto"/>
        <w:contextualSpacing/>
        <w:jc w:val="both"/>
        <w:rPr>
          <w:rFonts w:ascii="Calibri" w:eastAsia="Calibri" w:hAnsi="Calibri" w:cs="Times New Roman"/>
          <w:sz w:val="24"/>
          <w:szCs w:val="24"/>
        </w:rPr>
      </w:pPr>
      <w:r>
        <w:rPr>
          <w:rFonts w:ascii="Calibri" w:eastAsia="Calibri" w:hAnsi="Calibri" w:cs="Times New Roman"/>
          <w:sz w:val="24"/>
          <w:szCs w:val="24"/>
        </w:rPr>
        <w:t>О</w:t>
      </w:r>
      <w:r w:rsidR="00673679" w:rsidRPr="00673679">
        <w:rPr>
          <w:rFonts w:ascii="Calibri" w:eastAsia="Calibri" w:hAnsi="Calibri" w:cs="Times New Roman"/>
          <w:sz w:val="24"/>
          <w:szCs w:val="24"/>
        </w:rPr>
        <w:t xml:space="preserve">бщият размер на помощта </w:t>
      </w:r>
      <w:r>
        <w:rPr>
          <w:rFonts w:ascii="Calibri" w:eastAsia="Calibri" w:hAnsi="Calibri" w:cs="Times New Roman"/>
          <w:sz w:val="24"/>
          <w:szCs w:val="24"/>
        </w:rPr>
        <w:t>за</w:t>
      </w:r>
      <w:r w:rsidR="00593070">
        <w:rPr>
          <w:rFonts w:ascii="Calibri" w:eastAsia="Calibri" w:hAnsi="Calibri" w:cs="Times New Roman"/>
          <w:sz w:val="24"/>
          <w:szCs w:val="24"/>
        </w:rPr>
        <w:t xml:space="preserve"> консултантски и помощни услуги за</w:t>
      </w:r>
      <w:r>
        <w:rPr>
          <w:rFonts w:ascii="Calibri" w:eastAsia="Calibri" w:hAnsi="Calibri" w:cs="Times New Roman"/>
          <w:sz w:val="24"/>
          <w:szCs w:val="24"/>
        </w:rPr>
        <w:t xml:space="preserve"> иновации в полза на МСП </w:t>
      </w:r>
      <w:r w:rsidR="00673679" w:rsidRPr="00673679">
        <w:rPr>
          <w:rFonts w:ascii="Calibri" w:eastAsia="Calibri" w:hAnsi="Calibri" w:cs="Times New Roman"/>
          <w:sz w:val="24"/>
          <w:szCs w:val="24"/>
        </w:rPr>
        <w:t xml:space="preserve">не </w:t>
      </w:r>
      <w:r>
        <w:rPr>
          <w:rFonts w:ascii="Calibri" w:eastAsia="Calibri" w:hAnsi="Calibri" w:cs="Times New Roman"/>
          <w:sz w:val="24"/>
          <w:szCs w:val="24"/>
        </w:rPr>
        <w:t xml:space="preserve">може да </w:t>
      </w:r>
      <w:r w:rsidR="00673679" w:rsidRPr="00673679">
        <w:rPr>
          <w:rFonts w:ascii="Calibri" w:eastAsia="Calibri" w:hAnsi="Calibri" w:cs="Times New Roman"/>
          <w:sz w:val="24"/>
          <w:szCs w:val="24"/>
        </w:rPr>
        <w:t>надхвърля левовата равностойност на 200 000 евро (391 166 лева) за предприятие за всеки тригодишен период.</w:t>
      </w:r>
    </w:p>
    <w:p w:rsidR="00944888" w:rsidRPr="00CF461F" w:rsidRDefault="00756197" w:rsidP="00157B99">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sz w:val="24"/>
          <w:szCs w:val="24"/>
        </w:rPr>
      </w:pPr>
      <w:r w:rsidRPr="00BD3276">
        <w:rPr>
          <w:sz w:val="24"/>
          <w:szCs w:val="24"/>
        </w:rPr>
        <w:t>Остатъкът от общите допустими разходи по проекта</w:t>
      </w:r>
      <w:r w:rsidR="007765DE">
        <w:rPr>
          <w:sz w:val="24"/>
          <w:szCs w:val="24"/>
          <w:lang w:val="en-US"/>
        </w:rPr>
        <w:t xml:space="preserve">, </w:t>
      </w:r>
      <w:r w:rsidR="007765DE">
        <w:rPr>
          <w:sz w:val="24"/>
          <w:szCs w:val="24"/>
        </w:rPr>
        <w:t>независимо от приложимия режим на държавна помощ,</w:t>
      </w:r>
      <w:r w:rsidRPr="00BD3276">
        <w:rPr>
          <w:sz w:val="24"/>
          <w:szCs w:val="24"/>
        </w:rPr>
        <w:t xml:space="preserve"> трябва да бъде съфинансиран чрез </w:t>
      </w:r>
      <w:r w:rsidRPr="00CF461F">
        <w:rPr>
          <w:sz w:val="24"/>
          <w:szCs w:val="24"/>
        </w:rPr>
        <w:t xml:space="preserve">собствени средства на кандидата или </w:t>
      </w:r>
      <w:r w:rsidR="00F709F2" w:rsidRPr="00CF461F">
        <w:rPr>
          <w:sz w:val="24"/>
          <w:szCs w:val="24"/>
        </w:rPr>
        <w:t xml:space="preserve">със средства </w:t>
      </w:r>
      <w:r w:rsidRPr="00CF461F">
        <w:rPr>
          <w:sz w:val="24"/>
          <w:szCs w:val="24"/>
        </w:rPr>
        <w:t xml:space="preserve">от </w:t>
      </w:r>
      <w:r w:rsidR="00F709F2" w:rsidRPr="00CF461F">
        <w:rPr>
          <w:sz w:val="24"/>
          <w:szCs w:val="24"/>
        </w:rPr>
        <w:t xml:space="preserve">външни </w:t>
      </w:r>
      <w:r w:rsidRPr="00CF461F">
        <w:rPr>
          <w:sz w:val="24"/>
          <w:szCs w:val="24"/>
        </w:rPr>
        <w:t xml:space="preserve">източници, които </w:t>
      </w:r>
      <w:r w:rsidR="00F709F2" w:rsidRPr="00CF461F">
        <w:rPr>
          <w:sz w:val="24"/>
          <w:szCs w:val="24"/>
        </w:rPr>
        <w:t xml:space="preserve">средства </w:t>
      </w:r>
      <w:r w:rsidRPr="00CF461F">
        <w:rPr>
          <w:sz w:val="24"/>
          <w:szCs w:val="24"/>
        </w:rPr>
        <w:t>изключват всякаква публична подкрепа.</w:t>
      </w:r>
      <w:r w:rsidR="00A661C8" w:rsidRPr="00CF461F">
        <w:rPr>
          <w:sz w:val="24"/>
          <w:szCs w:val="24"/>
        </w:rPr>
        <w:t xml:space="preserve"> Посоченото ще бъде проверявано въз основа на представената Декларация за държавни</w:t>
      </w:r>
      <w:r w:rsidR="00243784" w:rsidRPr="00CF461F">
        <w:rPr>
          <w:sz w:val="24"/>
          <w:szCs w:val="24"/>
        </w:rPr>
        <w:t>/минимални</w:t>
      </w:r>
      <w:r w:rsidR="00A661C8" w:rsidRPr="00CF461F">
        <w:rPr>
          <w:sz w:val="24"/>
          <w:szCs w:val="24"/>
        </w:rPr>
        <w:t xml:space="preserve"> помощи по Приложение </w:t>
      </w:r>
      <w:r w:rsidR="00F710BF" w:rsidRPr="00CF461F">
        <w:rPr>
          <w:sz w:val="24"/>
          <w:szCs w:val="24"/>
        </w:rPr>
        <w:t>Д</w:t>
      </w:r>
      <w:r w:rsidR="00753C03" w:rsidRPr="00CF461F">
        <w:rPr>
          <w:sz w:val="24"/>
          <w:szCs w:val="24"/>
        </w:rPr>
        <w:t>.</w:t>
      </w:r>
    </w:p>
    <w:p w:rsidR="00ED4BBB" w:rsidRPr="00CF461F" w:rsidRDefault="00ED4BBB"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0018A" w:rsidRPr="00BD3276" w:rsidRDefault="00124516"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Cs/>
          <w:sz w:val="24"/>
          <w:szCs w:val="24"/>
        </w:rPr>
      </w:pPr>
      <w:r w:rsidRPr="00CF461F">
        <w:rPr>
          <w:sz w:val="24"/>
          <w:szCs w:val="24"/>
        </w:rPr>
        <w:t xml:space="preserve">За </w:t>
      </w:r>
      <w:r w:rsidR="00A554B2" w:rsidRPr="00CF461F">
        <w:rPr>
          <w:sz w:val="24"/>
          <w:szCs w:val="24"/>
        </w:rPr>
        <w:t>да се изчисли интензитетът</w:t>
      </w:r>
      <w:r w:rsidRPr="00CF461F">
        <w:rPr>
          <w:sz w:val="24"/>
          <w:szCs w:val="24"/>
        </w:rPr>
        <w:t xml:space="preserve"> на помощта</w:t>
      </w:r>
      <w:r w:rsidR="00E02F01" w:rsidRPr="00CF461F">
        <w:rPr>
          <w:sz w:val="24"/>
          <w:szCs w:val="24"/>
        </w:rPr>
        <w:t>,</w:t>
      </w:r>
      <w:r w:rsidRPr="00CF461F">
        <w:rPr>
          <w:sz w:val="24"/>
          <w:szCs w:val="24"/>
        </w:rPr>
        <w:t xml:space="preserve"> всички данни </w:t>
      </w:r>
      <w:r w:rsidR="003F3B1C" w:rsidRPr="00CF461F">
        <w:rPr>
          <w:sz w:val="24"/>
          <w:szCs w:val="24"/>
        </w:rPr>
        <w:t xml:space="preserve">се </w:t>
      </w:r>
      <w:r w:rsidR="004D68FB" w:rsidRPr="00CF461F">
        <w:rPr>
          <w:sz w:val="24"/>
          <w:szCs w:val="24"/>
        </w:rPr>
        <w:t>представят в брутно изражение -</w:t>
      </w:r>
      <w:r w:rsidRPr="00CF461F">
        <w:rPr>
          <w:sz w:val="24"/>
          <w:szCs w:val="24"/>
        </w:rPr>
        <w:t xml:space="preserve"> </w:t>
      </w:r>
      <w:r w:rsidR="00A554B2" w:rsidRPr="00CF461F">
        <w:rPr>
          <w:sz w:val="24"/>
          <w:szCs w:val="24"/>
        </w:rPr>
        <w:t>преди приспадането на данъци и</w:t>
      </w:r>
      <w:r w:rsidRPr="00CF461F">
        <w:rPr>
          <w:sz w:val="24"/>
          <w:szCs w:val="24"/>
        </w:rPr>
        <w:t xml:space="preserve"> други такси. </w:t>
      </w:r>
      <w:r w:rsidR="003F3B1C" w:rsidRPr="00CF461F">
        <w:rPr>
          <w:sz w:val="24"/>
          <w:szCs w:val="24"/>
        </w:rPr>
        <w:t>Помощите, които се предоставят на няколко части</w:t>
      </w:r>
      <w:r w:rsidR="00CB78E3" w:rsidRPr="00CF461F">
        <w:rPr>
          <w:sz w:val="24"/>
          <w:szCs w:val="24"/>
        </w:rPr>
        <w:t xml:space="preserve"> (</w:t>
      </w:r>
      <w:r w:rsidR="00CB78E3" w:rsidRPr="00CF461F">
        <w:rPr>
          <w:bCs/>
          <w:sz w:val="24"/>
          <w:szCs w:val="24"/>
        </w:rPr>
        <w:t>т.е. когато кандидатът предвижда да ползва</w:t>
      </w:r>
      <w:r w:rsidR="00CB78E3" w:rsidRPr="000A6111">
        <w:rPr>
          <w:bCs/>
          <w:sz w:val="24"/>
          <w:szCs w:val="24"/>
        </w:rPr>
        <w:t xml:space="preserve"> авансово и/или междинно/и плащане/</w:t>
      </w:r>
      <w:proofErr w:type="spellStart"/>
      <w:r w:rsidR="00CB78E3" w:rsidRPr="000A6111">
        <w:rPr>
          <w:bCs/>
          <w:sz w:val="24"/>
          <w:szCs w:val="24"/>
        </w:rPr>
        <w:t>ия</w:t>
      </w:r>
      <w:proofErr w:type="spellEnd"/>
      <w:r w:rsidR="00CB78E3" w:rsidRPr="000A6111">
        <w:rPr>
          <w:bCs/>
          <w:sz w:val="24"/>
          <w:szCs w:val="24"/>
        </w:rPr>
        <w:t xml:space="preserve">, както е посочено </w:t>
      </w:r>
      <w:r w:rsidR="00CB78E3" w:rsidRPr="00CF461F">
        <w:rPr>
          <w:bCs/>
          <w:sz w:val="24"/>
          <w:szCs w:val="24"/>
        </w:rPr>
        <w:t>в т</w:t>
      </w:r>
      <w:r w:rsidR="00DB2891" w:rsidRPr="00CF461F">
        <w:rPr>
          <w:bCs/>
          <w:sz w:val="24"/>
          <w:szCs w:val="24"/>
        </w:rPr>
        <w:t>. 26.3</w:t>
      </w:r>
      <w:r w:rsidR="00CB78E3" w:rsidRPr="00CF461F">
        <w:rPr>
          <w:bCs/>
          <w:sz w:val="24"/>
          <w:szCs w:val="24"/>
        </w:rPr>
        <w:t xml:space="preserve"> от Насоките за кандидатстване)</w:t>
      </w:r>
      <w:r w:rsidR="003F3B1C" w:rsidRPr="00CF461F">
        <w:rPr>
          <w:sz w:val="24"/>
          <w:szCs w:val="24"/>
        </w:rPr>
        <w:t>, се сконтират към техния разм</w:t>
      </w:r>
      <w:r w:rsidR="00626ABC" w:rsidRPr="00CF461F">
        <w:rPr>
          <w:sz w:val="24"/>
          <w:szCs w:val="24"/>
        </w:rPr>
        <w:t>ер към момента на предоставяне</w:t>
      </w:r>
      <w:r w:rsidR="003A48F8" w:rsidRPr="00CF461F">
        <w:rPr>
          <w:sz w:val="24"/>
          <w:szCs w:val="24"/>
        </w:rPr>
        <w:t xml:space="preserve">. </w:t>
      </w:r>
      <w:r w:rsidR="003A48F8" w:rsidRPr="00CF461F">
        <w:rPr>
          <w:sz w:val="24"/>
          <w:szCs w:val="24"/>
        </w:rPr>
        <w:lastRenderedPageBreak/>
        <w:t>Допустимите разходи се сконтират до тяхната стойност към момента на предоставяне</w:t>
      </w:r>
      <w:r w:rsidR="003A48F8" w:rsidRPr="000A6111">
        <w:rPr>
          <w:sz w:val="24"/>
          <w:szCs w:val="24"/>
        </w:rPr>
        <w:t xml:space="preserve"> на помощта</w:t>
      </w:r>
      <w:r w:rsidR="004B48C5" w:rsidRPr="000A6111">
        <w:rPr>
          <w:rStyle w:val="FootnoteReference"/>
          <w:sz w:val="24"/>
          <w:szCs w:val="24"/>
        </w:rPr>
        <w:footnoteReference w:id="7"/>
      </w:r>
      <w:r w:rsidR="003A48F8" w:rsidRPr="000A6111">
        <w:rPr>
          <w:sz w:val="24"/>
          <w:szCs w:val="24"/>
        </w:rPr>
        <w:t>. Л</w:t>
      </w:r>
      <w:r w:rsidR="00626ABC" w:rsidRPr="000A6111">
        <w:rPr>
          <w:sz w:val="24"/>
          <w:szCs w:val="24"/>
        </w:rPr>
        <w:t>ихвеният процент</w:t>
      </w:r>
      <w:r w:rsidR="003A48F8" w:rsidRPr="000A6111">
        <w:rPr>
          <w:sz w:val="24"/>
          <w:szCs w:val="24"/>
        </w:rPr>
        <w:t xml:space="preserve"> който се използва за сконтиране, е сконтовият процент</w:t>
      </w:r>
      <w:r w:rsidR="003F3B1C" w:rsidRPr="000A6111">
        <w:rPr>
          <w:sz w:val="24"/>
          <w:szCs w:val="24"/>
        </w:rPr>
        <w:t>, приложим към мом</w:t>
      </w:r>
      <w:r w:rsidR="00626ABC" w:rsidRPr="000A6111">
        <w:rPr>
          <w:sz w:val="24"/>
          <w:szCs w:val="24"/>
        </w:rPr>
        <w:t xml:space="preserve">ента на предоставяне на помощта в съответствие с чл. 7, ал. </w:t>
      </w:r>
      <w:r w:rsidR="00ED4BBB" w:rsidRPr="000A6111">
        <w:rPr>
          <w:sz w:val="24"/>
          <w:szCs w:val="24"/>
        </w:rPr>
        <w:t>3 от Регламент на Комисията (ЕС) № 651/2014</w:t>
      </w:r>
      <w:r w:rsidR="00D63CD4">
        <w:rPr>
          <w:sz w:val="24"/>
          <w:szCs w:val="24"/>
        </w:rPr>
        <w:t xml:space="preserve"> и чл. 3, ал 6</w:t>
      </w:r>
      <w:r w:rsidR="00367B31">
        <w:rPr>
          <w:sz w:val="24"/>
          <w:szCs w:val="24"/>
        </w:rPr>
        <w:t>. Регламент (ЕС) № 1407/2013</w:t>
      </w:r>
      <w:r w:rsidR="00ED4BBB" w:rsidRPr="000A6111">
        <w:rPr>
          <w:sz w:val="24"/>
          <w:szCs w:val="24"/>
        </w:rPr>
        <w:t>.</w:t>
      </w:r>
      <w:r w:rsidR="00ED4BBB" w:rsidRPr="000A6111">
        <w:rPr>
          <w:rFonts w:ascii="Times New Roman" w:eastAsia="Times New Roman" w:hAnsi="Times New Roman" w:cs="Times New Roman"/>
          <w:bCs/>
          <w:snapToGrid w:val="0"/>
          <w:sz w:val="24"/>
          <w:szCs w:val="24"/>
        </w:rPr>
        <w:t xml:space="preserve"> </w:t>
      </w:r>
      <w:r w:rsidR="00ED4BBB" w:rsidRPr="000A6111">
        <w:rPr>
          <w:bCs/>
          <w:sz w:val="24"/>
          <w:szCs w:val="24"/>
        </w:rPr>
        <w:t>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p>
    <w:p w:rsidR="002325A3" w:rsidRPr="00BD3276" w:rsidRDefault="00CB14EE" w:rsidP="00707733">
      <w:pPr>
        <w:pStyle w:val="Heading2"/>
      </w:pPr>
      <w:bookmarkStart w:id="12" w:name="_Toc418791443"/>
      <w:r w:rsidRPr="00BD3276">
        <w:t>1</w:t>
      </w:r>
      <w:r w:rsidR="004A58E5" w:rsidRPr="00BD3276">
        <w:t>1</w:t>
      </w:r>
      <w:r w:rsidR="002325A3" w:rsidRPr="00BD3276">
        <w:t>. Допустими кандидати:</w:t>
      </w:r>
      <w:bookmarkEnd w:id="12"/>
      <w:r w:rsidR="002325A3" w:rsidRPr="00BD3276">
        <w:t xml:space="preserve"> </w:t>
      </w:r>
    </w:p>
    <w:p w:rsidR="001B6D92" w:rsidRPr="00BD3276" w:rsidRDefault="00D84021" w:rsidP="005C1072">
      <w:pPr>
        <w:pStyle w:val="Heading3"/>
        <w:spacing w:before="120" w:after="120"/>
        <w:rPr>
          <w:sz w:val="24"/>
          <w:szCs w:val="24"/>
        </w:rPr>
      </w:pPr>
      <w:bookmarkStart w:id="13" w:name="_Toc418791444"/>
      <w:r w:rsidRPr="00BD3276">
        <w:rPr>
          <w:sz w:val="24"/>
          <w:szCs w:val="24"/>
        </w:rPr>
        <w:t>11.1</w:t>
      </w:r>
      <w:r w:rsidR="001B6D92" w:rsidRPr="00BD3276">
        <w:rPr>
          <w:sz w:val="24"/>
          <w:szCs w:val="24"/>
        </w:rPr>
        <w:t xml:space="preserve"> Критерии за допустимост на кандидатите</w:t>
      </w:r>
      <w:bookmarkEnd w:id="13"/>
    </w:p>
    <w:p w:rsidR="00377A51" w:rsidRDefault="0047081D" w:rsidP="004C21BA">
      <w:pPr>
        <w:pStyle w:val="ListParagraph"/>
        <w:pBdr>
          <w:top w:val="single" w:sz="4" w:space="1" w:color="auto"/>
          <w:left w:val="single" w:sz="4" w:space="4" w:color="auto"/>
          <w:bottom w:val="single" w:sz="4" w:space="1" w:color="auto"/>
          <w:right w:val="single" w:sz="4" w:space="3" w:color="auto"/>
        </w:pBdr>
        <w:spacing w:after="360" w:line="240" w:lineRule="auto"/>
        <w:ind w:left="0"/>
        <w:jc w:val="both"/>
        <w:rPr>
          <w:sz w:val="24"/>
          <w:szCs w:val="24"/>
          <w:lang w:val="en-US"/>
        </w:rPr>
      </w:pPr>
      <w:r w:rsidRPr="0047081D">
        <w:rPr>
          <w:b/>
          <w:sz w:val="24"/>
          <w:szCs w:val="24"/>
        </w:rPr>
        <w:t>1)</w:t>
      </w:r>
      <w:r>
        <w:rPr>
          <w:sz w:val="24"/>
          <w:szCs w:val="24"/>
        </w:rPr>
        <w:t xml:space="preserve"> </w:t>
      </w:r>
      <w:r w:rsidR="00CE0C05" w:rsidRPr="00BD3276">
        <w:rPr>
          <w:sz w:val="24"/>
          <w:szCs w:val="24"/>
        </w:rPr>
        <w:t xml:space="preserve">Допустими по настоящата процедура за подбор на проекти са само кандидати, които </w:t>
      </w:r>
      <w:r w:rsidR="00377A51" w:rsidRPr="009B4474">
        <w:rPr>
          <w:sz w:val="24"/>
          <w:szCs w:val="24"/>
        </w:rPr>
        <w:t>са търговци по смисъла на Търговския закон или Закона за кооперациите</w:t>
      </w:r>
      <w:r w:rsidR="0079396C" w:rsidRPr="009B4474">
        <w:rPr>
          <w:sz w:val="24"/>
          <w:szCs w:val="24"/>
        </w:rPr>
        <w:t xml:space="preserve"> или</w:t>
      </w:r>
      <w:r w:rsidR="0048639C" w:rsidRPr="009B4474">
        <w:rPr>
          <w:sz w:val="24"/>
          <w:szCs w:val="24"/>
        </w:rPr>
        <w:t xml:space="preserve"> </w:t>
      </w:r>
      <w:r w:rsidR="00270681" w:rsidRPr="009B4474">
        <w:rPr>
          <w:sz w:val="24"/>
          <w:szCs w:val="24"/>
        </w:rPr>
        <w:t>са</w:t>
      </w:r>
      <w:r w:rsidR="0079396C" w:rsidRPr="009B4474">
        <w:rPr>
          <w:sz w:val="24"/>
          <w:szCs w:val="24"/>
        </w:rPr>
        <w:t xml:space="preserve"> еквивалентно лице по смисъла на законодателството на държава-членка на Европейското икономическо пространство</w:t>
      </w:r>
      <w:r w:rsidR="00C30934">
        <w:rPr>
          <w:sz w:val="24"/>
          <w:szCs w:val="24"/>
        </w:rPr>
        <w:t>.</w:t>
      </w:r>
    </w:p>
    <w:p w:rsidR="005468D9" w:rsidRPr="00043532" w:rsidRDefault="00AD32F4" w:rsidP="004C21BA">
      <w:pPr>
        <w:pBdr>
          <w:top w:val="single" w:sz="4" w:space="1" w:color="auto"/>
          <w:left w:val="single" w:sz="4" w:space="4" w:color="auto"/>
          <w:bottom w:val="single" w:sz="4" w:space="1" w:color="auto"/>
          <w:right w:val="single" w:sz="4" w:space="3" w:color="auto"/>
        </w:pBdr>
        <w:shd w:val="clear" w:color="auto" w:fill="FFFFFF" w:themeFill="background1"/>
        <w:spacing w:before="100" w:beforeAutospacing="1" w:after="100" w:afterAutospacing="1" w:line="320" w:lineRule="atLeast"/>
        <w:jc w:val="both"/>
        <w:rPr>
          <w:sz w:val="24"/>
          <w:szCs w:val="24"/>
          <w:lang w:val="en-US"/>
        </w:rPr>
      </w:pPr>
      <w:r>
        <w:rPr>
          <w:b/>
          <w:sz w:val="24"/>
          <w:szCs w:val="24"/>
          <w:lang w:val="en-US"/>
        </w:rPr>
        <w:t>2</w:t>
      </w:r>
      <w:r>
        <w:rPr>
          <w:b/>
          <w:sz w:val="24"/>
          <w:szCs w:val="24"/>
        </w:rPr>
        <w:t>)</w:t>
      </w:r>
      <w:r w:rsidRPr="0047081D">
        <w:rPr>
          <w:sz w:val="24"/>
          <w:szCs w:val="24"/>
        </w:rPr>
        <w:t xml:space="preserve"> </w:t>
      </w:r>
      <w:r w:rsidRPr="0079301F">
        <w:rPr>
          <w:sz w:val="24"/>
          <w:szCs w:val="24"/>
        </w:rPr>
        <w:t>Допустими по настоящата процедура за подбор на проекти са само кандидати, които</w:t>
      </w:r>
      <w:r w:rsidRPr="0047081D">
        <w:rPr>
          <w:sz w:val="24"/>
          <w:szCs w:val="24"/>
        </w:rPr>
        <w:t xml:space="preserve"> имат </w:t>
      </w:r>
      <w:r w:rsidRPr="00F51454">
        <w:rPr>
          <w:b/>
          <w:sz w:val="24"/>
          <w:szCs w:val="24"/>
        </w:rPr>
        <w:t>минимум три</w:t>
      </w:r>
      <w:r w:rsidRPr="0047081D">
        <w:rPr>
          <w:sz w:val="24"/>
          <w:szCs w:val="24"/>
        </w:rPr>
        <w:t xml:space="preserve"> приключени финансови </w:t>
      </w:r>
      <w:r w:rsidRPr="00862AF1">
        <w:rPr>
          <w:sz w:val="24"/>
          <w:szCs w:val="24"/>
        </w:rPr>
        <w:t>години (2012, 2013 и 2014 г.) преди датата</w:t>
      </w:r>
      <w:r w:rsidRPr="0047081D">
        <w:rPr>
          <w:sz w:val="24"/>
          <w:szCs w:val="24"/>
        </w:rPr>
        <w:t xml:space="preserve"> на обявяване на процедурата за подбор на проекти</w:t>
      </w:r>
      <w:r w:rsidR="004C21BA">
        <w:rPr>
          <w:sz w:val="24"/>
          <w:szCs w:val="24"/>
        </w:rPr>
        <w:t>.</w:t>
      </w:r>
    </w:p>
    <w:p w:rsidR="00043532" w:rsidRPr="00043532" w:rsidRDefault="00AD32F4" w:rsidP="004C21BA">
      <w:pPr>
        <w:pStyle w:val="ListParagraph"/>
        <w:pBdr>
          <w:top w:val="single" w:sz="4" w:space="1" w:color="auto"/>
          <w:left w:val="single" w:sz="4" w:space="4" w:color="auto"/>
          <w:bottom w:val="single" w:sz="4" w:space="1" w:color="auto"/>
          <w:right w:val="single" w:sz="4" w:space="3" w:color="auto"/>
        </w:pBdr>
        <w:spacing w:after="360" w:line="240" w:lineRule="auto"/>
        <w:ind w:left="0"/>
        <w:jc w:val="both"/>
        <w:rPr>
          <w:sz w:val="24"/>
          <w:szCs w:val="24"/>
        </w:rPr>
      </w:pPr>
      <w:r>
        <w:rPr>
          <w:b/>
          <w:sz w:val="24"/>
          <w:szCs w:val="24"/>
          <w:lang w:val="en-US"/>
        </w:rPr>
        <w:t>3</w:t>
      </w:r>
      <w:r w:rsidR="0091055D" w:rsidRPr="0091055D">
        <w:rPr>
          <w:b/>
          <w:sz w:val="24"/>
          <w:szCs w:val="24"/>
          <w:lang w:val="en-US"/>
        </w:rPr>
        <w:t>)</w:t>
      </w:r>
      <w:r w:rsidR="0091055D">
        <w:rPr>
          <w:sz w:val="24"/>
          <w:szCs w:val="24"/>
          <w:lang w:val="en-US"/>
        </w:rPr>
        <w:t xml:space="preserve"> </w:t>
      </w:r>
      <w:r w:rsidR="005468D9" w:rsidRPr="005468D9">
        <w:rPr>
          <w:sz w:val="24"/>
          <w:szCs w:val="24"/>
        </w:rPr>
        <w:t>Потенциалните кандидати не могат да участват в процедурата за подбор на проекти и не могат да получат безвъзмездна финансова помощ, в случай че попадат в забранителните режими на Регламент на Комисията (ЕС) № 651/2014 от 17 юни 2014 година, Регламент (ЕС) № 1407/2013 на Комисията от 18 декември 2013 г.</w:t>
      </w:r>
    </w:p>
    <w:p w:rsidR="00CE0C05" w:rsidRPr="00043532" w:rsidRDefault="00043532" w:rsidP="004C21BA">
      <w:pPr>
        <w:pBdr>
          <w:top w:val="single" w:sz="4" w:space="1" w:color="auto"/>
          <w:left w:val="single" w:sz="4" w:space="4" w:color="auto"/>
          <w:bottom w:val="single" w:sz="4" w:space="1" w:color="auto"/>
          <w:right w:val="single" w:sz="4" w:space="3" w:color="auto"/>
        </w:pBdr>
        <w:shd w:val="clear" w:color="auto" w:fill="FFFFFF" w:themeFill="background1"/>
        <w:spacing w:before="100" w:beforeAutospacing="1" w:after="100" w:afterAutospacing="1" w:line="320" w:lineRule="atLeast"/>
        <w:jc w:val="both"/>
        <w:rPr>
          <w:sz w:val="24"/>
          <w:szCs w:val="24"/>
        </w:rPr>
      </w:pPr>
      <w:r>
        <w:rPr>
          <w:b/>
          <w:sz w:val="24"/>
          <w:szCs w:val="24"/>
          <w:lang w:val="en-US"/>
        </w:rPr>
        <w:t xml:space="preserve">4) </w:t>
      </w:r>
      <w:r w:rsidRPr="0091055D">
        <w:rPr>
          <w:sz w:val="24"/>
          <w:szCs w:val="24"/>
        </w:rPr>
        <w:t>Кандидати могат да участват в процедурата за подбор на проекти и да получат безвъзмездна финансова помощ</w:t>
      </w:r>
      <w:r w:rsidR="004C21BA">
        <w:rPr>
          <w:sz w:val="24"/>
          <w:szCs w:val="24"/>
        </w:rPr>
        <w:t>,</w:t>
      </w:r>
      <w:r w:rsidRPr="0091055D">
        <w:rPr>
          <w:sz w:val="24"/>
          <w:szCs w:val="24"/>
        </w:rPr>
        <w:t xml:space="preserve"> в случай че </w:t>
      </w:r>
      <w:r w:rsidRPr="0091055D">
        <w:rPr>
          <w:b/>
          <w:sz w:val="24"/>
          <w:szCs w:val="24"/>
          <w:u w:val="single"/>
        </w:rPr>
        <w:t>не</w:t>
      </w:r>
      <w:r w:rsidRPr="0091055D">
        <w:rPr>
          <w:sz w:val="24"/>
          <w:szCs w:val="24"/>
        </w:rPr>
        <w:t xml:space="preserve"> са недопустими кандидати съобразно демаркационната линия с други планове и програми</w:t>
      </w:r>
      <w:r>
        <w:rPr>
          <w:sz w:val="24"/>
          <w:szCs w:val="24"/>
        </w:rPr>
        <w:t>, финансирани със средства на ЕС.</w:t>
      </w:r>
    </w:p>
    <w:p w:rsidR="0044063E" w:rsidRPr="00BD3276" w:rsidRDefault="0044063E" w:rsidP="004C21BA">
      <w:pPr>
        <w:pStyle w:val="ListParagraph"/>
        <w:pBdr>
          <w:top w:val="single" w:sz="4" w:space="1" w:color="auto"/>
          <w:left w:val="single" w:sz="4" w:space="4" w:color="auto"/>
          <w:bottom w:val="single" w:sz="4" w:space="1" w:color="auto"/>
          <w:right w:val="single" w:sz="4" w:space="3" w:color="auto"/>
        </w:pBdr>
        <w:spacing w:after="360" w:line="240" w:lineRule="auto"/>
        <w:ind w:left="0"/>
        <w:jc w:val="both"/>
        <w:rPr>
          <w:sz w:val="24"/>
          <w:szCs w:val="24"/>
        </w:rPr>
      </w:pPr>
      <w:r w:rsidRPr="00BD3276">
        <w:rPr>
          <w:sz w:val="24"/>
          <w:szCs w:val="24"/>
        </w:rPr>
        <w:t>Клонове на юридически лица</w:t>
      </w:r>
      <w:r w:rsidR="00F079F4" w:rsidRPr="00BD3276">
        <w:rPr>
          <w:sz w:val="24"/>
          <w:szCs w:val="24"/>
        </w:rPr>
        <w:t>, регистрирани в България</w:t>
      </w:r>
      <w:r w:rsidR="00F733FA" w:rsidRPr="00BD3276">
        <w:rPr>
          <w:sz w:val="24"/>
          <w:szCs w:val="24"/>
        </w:rPr>
        <w:t>,</w:t>
      </w:r>
      <w:r w:rsidRPr="00BD3276">
        <w:rPr>
          <w:sz w:val="24"/>
          <w:szCs w:val="24"/>
        </w:rPr>
        <w:t xml:space="preserve"> </w:t>
      </w:r>
      <w:r w:rsidRPr="00BD3276">
        <w:rPr>
          <w:b/>
          <w:sz w:val="24"/>
          <w:szCs w:val="24"/>
        </w:rPr>
        <w:t>не могат</w:t>
      </w:r>
      <w:r w:rsidRPr="00BD3276">
        <w:rPr>
          <w:sz w:val="24"/>
          <w:szCs w:val="24"/>
        </w:rPr>
        <w:t xml:space="preserve"> да участват в процедурата за подбор на проекти поради липсата на самостоятелна правосубектност.</w:t>
      </w:r>
      <w:r w:rsidR="0079396C" w:rsidRPr="00BD3276">
        <w:rPr>
          <w:sz w:val="24"/>
          <w:szCs w:val="24"/>
        </w:rPr>
        <w:t xml:space="preserve"> С оглед извършване на плащания по</w:t>
      </w:r>
      <w:r w:rsidR="00FA6C9B" w:rsidRPr="00BD3276">
        <w:rPr>
          <w:sz w:val="24"/>
          <w:szCs w:val="24"/>
        </w:rPr>
        <w:t xml:space="preserve"> настоящата процедура, към датата на сключване на договора за безвъзмездна финансова помощ, кандидатът/бенефициентът следва да е регистриран по реда на Закона за търговския регистър .</w:t>
      </w:r>
      <w:r w:rsidR="003B022B">
        <w:rPr>
          <w:sz w:val="24"/>
          <w:szCs w:val="24"/>
        </w:rPr>
        <w:t xml:space="preserve"> </w:t>
      </w:r>
      <w:r w:rsidR="003B022B" w:rsidRPr="003B022B">
        <w:rPr>
          <w:sz w:val="24"/>
          <w:szCs w:val="24"/>
        </w:rPr>
        <w:t>С оглед избягване на подмяна на оценката</w:t>
      </w:r>
      <w:r w:rsidR="003B022B">
        <w:rPr>
          <w:sz w:val="24"/>
          <w:szCs w:val="24"/>
        </w:rPr>
        <w:t xml:space="preserve"> </w:t>
      </w:r>
      <w:proofErr w:type="spellStart"/>
      <w:r w:rsidR="003B022B">
        <w:rPr>
          <w:sz w:val="24"/>
          <w:szCs w:val="24"/>
        </w:rPr>
        <w:t>н</w:t>
      </w:r>
      <w:r w:rsidR="00EB6F40" w:rsidRPr="00EB6F40">
        <w:rPr>
          <w:sz w:val="24"/>
          <w:szCs w:val="24"/>
        </w:rPr>
        <w:t>оворегистираното</w:t>
      </w:r>
      <w:proofErr w:type="spellEnd"/>
      <w:r w:rsidR="00EB6F40" w:rsidRPr="00EB6F40">
        <w:rPr>
          <w:sz w:val="24"/>
          <w:szCs w:val="24"/>
        </w:rPr>
        <w:t xml:space="preserve"> предприятие следва да бъде еднолично капиталово дружество по смисъла на Търговския закон. Едноличен собственик на капитала на </w:t>
      </w:r>
      <w:proofErr w:type="spellStart"/>
      <w:r w:rsidR="00EB6F40" w:rsidRPr="00EB6F40">
        <w:rPr>
          <w:sz w:val="24"/>
          <w:szCs w:val="24"/>
        </w:rPr>
        <w:t>новорегистрираното</w:t>
      </w:r>
      <w:proofErr w:type="spellEnd"/>
      <w:r w:rsidR="00EB6F40" w:rsidRPr="00EB6F40">
        <w:rPr>
          <w:sz w:val="24"/>
          <w:szCs w:val="24"/>
        </w:rPr>
        <w:t xml:space="preserve"> предприятие следва да бъде чуждестранното предприятие-кандидат по процедурата. </w:t>
      </w:r>
    </w:p>
    <w:p w:rsidR="00E66D2E" w:rsidRPr="00E66D2E" w:rsidRDefault="00E66D2E" w:rsidP="004C21BA">
      <w:pPr>
        <w:pBdr>
          <w:top w:val="single" w:sz="4" w:space="1" w:color="auto"/>
          <w:left w:val="single" w:sz="4" w:space="4" w:color="auto"/>
          <w:bottom w:val="single" w:sz="4" w:space="1" w:color="auto"/>
          <w:right w:val="single" w:sz="4" w:space="3" w:color="auto"/>
        </w:pBdr>
        <w:spacing w:after="360" w:line="240" w:lineRule="auto"/>
        <w:contextualSpacing/>
        <w:jc w:val="both"/>
        <w:rPr>
          <w:rFonts w:ascii="Calibri" w:eastAsia="Calibri" w:hAnsi="Calibri" w:cs="Times New Roman"/>
          <w:sz w:val="24"/>
          <w:szCs w:val="24"/>
        </w:rPr>
      </w:pPr>
      <w:r w:rsidRPr="00E66D2E">
        <w:rPr>
          <w:rFonts w:ascii="Calibri" w:eastAsia="Calibri" w:hAnsi="Calibri" w:cs="Times New Roman"/>
          <w:sz w:val="24"/>
          <w:szCs w:val="24"/>
        </w:rPr>
        <w:lastRenderedPageBreak/>
        <w:t>Бюджетът за микро и малки предприятия, съответно за средни предприятия по настоящата процедура ще се прилага само за кандидати, които са удостоверили, че попадат в съответната категория предприятие. Кандидатите, които желаят да се възползват от по-благоприятните интензитети за МСП по т. 10, 1) са длъжни да удостоверят, че са микро, малко или средно предприятие по смисъла на Закона за малките и средните предприятия и по смисъла на Приложение І към Регламент (ЕС) № 651/2014, като попълнят и предст</w:t>
      </w:r>
      <w:r w:rsidRPr="00CF461F">
        <w:rPr>
          <w:rFonts w:ascii="Calibri" w:eastAsia="Calibri" w:hAnsi="Calibri" w:cs="Times New Roman"/>
          <w:sz w:val="24"/>
          <w:szCs w:val="24"/>
        </w:rPr>
        <w:t xml:space="preserve">авят към проектните предложения Декларация за обстоятелствата по чл. 3 и чл. 4 от ЗМСП (Приложение </w:t>
      </w:r>
      <w:r w:rsidR="00F710BF" w:rsidRPr="00CF461F">
        <w:rPr>
          <w:rFonts w:ascii="Calibri" w:eastAsia="Calibri" w:hAnsi="Calibri" w:cs="Times New Roman"/>
          <w:sz w:val="24"/>
          <w:szCs w:val="24"/>
        </w:rPr>
        <w:t>Е</w:t>
      </w:r>
      <w:r w:rsidRPr="00E66D2E">
        <w:rPr>
          <w:rFonts w:ascii="Calibri" w:eastAsia="Calibri" w:hAnsi="Calibri" w:cs="Times New Roman"/>
          <w:sz w:val="24"/>
          <w:szCs w:val="24"/>
        </w:rPr>
        <w:t xml:space="preserve"> към Насоките за кандидатстване).</w:t>
      </w:r>
      <w:r w:rsidR="00BE59B9">
        <w:rPr>
          <w:rFonts w:ascii="Calibri" w:eastAsia="Calibri" w:hAnsi="Calibri" w:cs="Times New Roman"/>
          <w:sz w:val="24"/>
          <w:szCs w:val="24"/>
        </w:rPr>
        <w:t xml:space="preserve"> </w:t>
      </w:r>
      <w:r w:rsidRPr="00E66D2E">
        <w:rPr>
          <w:rFonts w:ascii="Calibri" w:eastAsia="Calibri" w:hAnsi="Calibri" w:cs="Times New Roman"/>
          <w:sz w:val="24"/>
          <w:szCs w:val="24"/>
        </w:rPr>
        <w:t>Предприятията, които не съответстват на посочените дефиниции за микро, малко или средно предприятие, представляват големи предприятия.</w:t>
      </w:r>
    </w:p>
    <w:p w:rsidR="00E66D2E" w:rsidRPr="00E66D2E" w:rsidRDefault="00E66D2E" w:rsidP="004C21BA">
      <w:pPr>
        <w:pBdr>
          <w:top w:val="single" w:sz="4" w:space="1" w:color="auto"/>
          <w:left w:val="single" w:sz="4" w:space="4" w:color="auto"/>
          <w:bottom w:val="single" w:sz="4" w:space="1" w:color="auto"/>
          <w:right w:val="single" w:sz="4" w:space="3" w:color="auto"/>
        </w:pBdr>
        <w:spacing w:after="360" w:line="240" w:lineRule="auto"/>
        <w:contextualSpacing/>
        <w:jc w:val="both"/>
        <w:rPr>
          <w:rFonts w:ascii="Calibri" w:eastAsia="Calibri" w:hAnsi="Calibri" w:cs="Times New Roman"/>
          <w:sz w:val="24"/>
          <w:szCs w:val="24"/>
        </w:rPr>
      </w:pPr>
      <w:r w:rsidRPr="00E66D2E">
        <w:rPr>
          <w:rFonts w:ascii="Calibri" w:eastAsia="Calibri" w:hAnsi="Calibri" w:cs="Times New Roman"/>
          <w:sz w:val="24"/>
          <w:szCs w:val="24"/>
        </w:rPr>
        <w:t xml:space="preserve">Следва да се има предвид, че допустими за финансиране чрез помощ за </w:t>
      </w:r>
      <w:r w:rsidRPr="00E66D2E">
        <w:rPr>
          <w:rFonts w:ascii="Calibri" w:eastAsia="Calibri" w:hAnsi="Calibri" w:cs="Times New Roman"/>
          <w:bCs/>
          <w:sz w:val="24"/>
          <w:szCs w:val="24"/>
        </w:rPr>
        <w:t xml:space="preserve">„консултантски и помощни услуги за иновации в полза на МСП“ по чл. 28, </w:t>
      </w:r>
      <w:proofErr w:type="spellStart"/>
      <w:r w:rsidRPr="00E66D2E">
        <w:rPr>
          <w:rFonts w:ascii="Calibri" w:eastAsia="Calibri" w:hAnsi="Calibri" w:cs="Times New Roman"/>
          <w:bCs/>
          <w:sz w:val="24"/>
          <w:szCs w:val="24"/>
        </w:rPr>
        <w:t>пар</w:t>
      </w:r>
      <w:proofErr w:type="spellEnd"/>
      <w:r w:rsidRPr="00E66D2E">
        <w:rPr>
          <w:rFonts w:ascii="Calibri" w:eastAsia="Calibri" w:hAnsi="Calibri" w:cs="Times New Roman"/>
          <w:bCs/>
          <w:sz w:val="24"/>
          <w:szCs w:val="24"/>
        </w:rPr>
        <w:t>. 4 от Регламент (ЕС) № 651/2014 са само предприятия, които са удостоверили, че представляват</w:t>
      </w:r>
      <w:r w:rsidRPr="00E66D2E">
        <w:rPr>
          <w:rFonts w:ascii="Calibri" w:eastAsia="Calibri" w:hAnsi="Calibri" w:cs="Times New Roman"/>
          <w:sz w:val="24"/>
          <w:szCs w:val="24"/>
        </w:rPr>
        <w:t xml:space="preserve"> микро, малко или средно предприятие.</w:t>
      </w:r>
    </w:p>
    <w:p w:rsidR="006039BA" w:rsidRDefault="00FF2970" w:rsidP="004C21BA">
      <w:pPr>
        <w:pBdr>
          <w:top w:val="single" w:sz="4" w:space="1" w:color="auto"/>
          <w:left w:val="single" w:sz="4" w:space="4" w:color="auto"/>
          <w:bottom w:val="single" w:sz="4" w:space="1" w:color="auto"/>
          <w:right w:val="single" w:sz="4" w:space="3" w:color="auto"/>
        </w:pBdr>
        <w:shd w:val="clear" w:color="auto" w:fill="FFFFFF" w:themeFill="background1"/>
        <w:spacing w:before="100" w:beforeAutospacing="1" w:after="100" w:afterAutospacing="1" w:line="320" w:lineRule="atLeast"/>
        <w:jc w:val="both"/>
        <w:rPr>
          <w:sz w:val="24"/>
          <w:szCs w:val="24"/>
        </w:rPr>
      </w:pPr>
      <w:r w:rsidRPr="00ED36F7">
        <w:rPr>
          <w:b/>
          <w:sz w:val="24"/>
          <w:szCs w:val="24"/>
        </w:rPr>
        <w:t>ВАЖНО:</w:t>
      </w:r>
      <w:r w:rsidRPr="00BD3276">
        <w:rPr>
          <w:b/>
          <w:sz w:val="24"/>
          <w:szCs w:val="24"/>
        </w:rPr>
        <w:t xml:space="preserve"> </w:t>
      </w:r>
      <w:r w:rsidRPr="00BD3276">
        <w:rPr>
          <w:sz w:val="24"/>
          <w:szCs w:val="24"/>
        </w:rPr>
        <w:t xml:space="preserve">Преди сключване на договор за предоставяне на безвъзмездна финансова помощ, </w:t>
      </w:r>
      <w:r w:rsidR="006878DC" w:rsidRPr="00BD3276">
        <w:rPr>
          <w:sz w:val="24"/>
          <w:szCs w:val="24"/>
        </w:rPr>
        <w:t xml:space="preserve">Управляващият </w:t>
      </w:r>
      <w:r w:rsidRPr="00BD3276">
        <w:rPr>
          <w:sz w:val="24"/>
          <w:szCs w:val="24"/>
        </w:rPr>
        <w:t xml:space="preserve">орган ще извършва документална проверка на декларираната от одобрените кандидати категория на </w:t>
      </w:r>
      <w:r w:rsidR="003B29D6" w:rsidRPr="003B29D6">
        <w:rPr>
          <w:sz w:val="24"/>
          <w:szCs w:val="24"/>
        </w:rPr>
        <w:t xml:space="preserve">микро, малко, </w:t>
      </w:r>
      <w:r w:rsidRPr="003B29D6">
        <w:rPr>
          <w:sz w:val="24"/>
          <w:szCs w:val="24"/>
        </w:rPr>
        <w:t xml:space="preserve">средно </w:t>
      </w:r>
      <w:r w:rsidR="003B29D6" w:rsidRPr="003B29D6">
        <w:rPr>
          <w:sz w:val="24"/>
          <w:szCs w:val="24"/>
        </w:rPr>
        <w:t xml:space="preserve">или голямо </w:t>
      </w:r>
      <w:r w:rsidRPr="003B29D6">
        <w:rPr>
          <w:sz w:val="24"/>
          <w:szCs w:val="24"/>
        </w:rPr>
        <w:t>предприятие</w:t>
      </w:r>
      <w:r w:rsidRPr="00064DD8">
        <w:rPr>
          <w:sz w:val="24"/>
          <w:szCs w:val="24"/>
        </w:rPr>
        <w:t>.</w:t>
      </w:r>
      <w:r w:rsidRPr="00BD3276">
        <w:rPr>
          <w:sz w:val="24"/>
          <w:szCs w:val="24"/>
        </w:rPr>
        <w:t xml:space="preserve"> В случай</w:t>
      </w:r>
      <w:r w:rsidR="00414B2D" w:rsidRPr="00BD3276">
        <w:rPr>
          <w:sz w:val="24"/>
          <w:szCs w:val="24"/>
        </w:rPr>
        <w:t xml:space="preserve"> </w:t>
      </w:r>
      <w:r w:rsidRPr="00BD3276">
        <w:rPr>
          <w:sz w:val="24"/>
          <w:szCs w:val="24"/>
        </w:rPr>
        <w:t>че бъде установена погрешно декларирана категория, довела до одобрение на интензитет на безвъзме</w:t>
      </w:r>
      <w:r w:rsidR="00332108" w:rsidRPr="00BD3276">
        <w:rPr>
          <w:sz w:val="24"/>
          <w:szCs w:val="24"/>
        </w:rPr>
        <w:t>з</w:t>
      </w:r>
      <w:r w:rsidRPr="00BD3276">
        <w:rPr>
          <w:sz w:val="24"/>
          <w:szCs w:val="24"/>
        </w:rPr>
        <w:t xml:space="preserve">дната финансова помощ по-висок от максимално допустимия </w:t>
      </w:r>
      <w:r w:rsidR="00544A09" w:rsidRPr="00BD3276">
        <w:rPr>
          <w:sz w:val="24"/>
          <w:szCs w:val="24"/>
        </w:rPr>
        <w:t xml:space="preserve">за установената категория преди сключване на договора </w:t>
      </w:r>
      <w:r w:rsidRPr="00BD3276">
        <w:rPr>
          <w:sz w:val="24"/>
          <w:szCs w:val="24"/>
        </w:rPr>
        <w:t>и/или до неправилно класиране,</w:t>
      </w:r>
      <w:r w:rsidR="00915876" w:rsidRPr="00915876">
        <w:t xml:space="preserve"> </w:t>
      </w:r>
      <w:r w:rsidR="00915876" w:rsidRPr="00915876">
        <w:rPr>
          <w:sz w:val="24"/>
          <w:szCs w:val="24"/>
        </w:rPr>
        <w:t>и/или до одобрение на разходи за помощ за „консултантски и помощни услуги за иновации в полза на МСП“,</w:t>
      </w:r>
      <w:r w:rsidRPr="00BD3276">
        <w:rPr>
          <w:sz w:val="24"/>
          <w:szCs w:val="24"/>
        </w:rPr>
        <w:t xml:space="preserve"> ще бъде издадено Решение за отказ за предоставяне на безвъзмездна финансова помощ</w:t>
      </w:r>
      <w:r w:rsidR="00FD3FDB" w:rsidRPr="00BD3276">
        <w:rPr>
          <w:sz w:val="24"/>
          <w:szCs w:val="24"/>
        </w:rPr>
        <w:t xml:space="preserve"> за съответния кандидат</w:t>
      </w:r>
      <w:r w:rsidRPr="00BD3276">
        <w:rPr>
          <w:sz w:val="24"/>
          <w:szCs w:val="24"/>
        </w:rPr>
        <w:t>.</w:t>
      </w:r>
      <w:r w:rsidR="00EA3E77" w:rsidRPr="00BD3276">
        <w:rPr>
          <w:sz w:val="24"/>
          <w:szCs w:val="24"/>
        </w:rPr>
        <w:t xml:space="preserve"> </w:t>
      </w:r>
      <w:r w:rsidRPr="00BD3276">
        <w:rPr>
          <w:sz w:val="24"/>
          <w:szCs w:val="24"/>
        </w:rPr>
        <w:t xml:space="preserve">В случай че в категорията/статуса на одобрен кандидат преди сключване на договор за безвъзмездна </w:t>
      </w:r>
      <w:r w:rsidR="00EA3E77" w:rsidRPr="00BD3276">
        <w:rPr>
          <w:sz w:val="24"/>
          <w:szCs w:val="24"/>
        </w:rPr>
        <w:t>финансова помощ настъпи промяна</w:t>
      </w:r>
      <w:r w:rsidRPr="00BD3276">
        <w:rPr>
          <w:sz w:val="24"/>
          <w:szCs w:val="24"/>
        </w:rPr>
        <w:t xml:space="preserve"> и в резултат на промяната интензитетът на помощта надхвърля максимално допустимия за новата категория съгласно т. </w:t>
      </w:r>
      <w:r w:rsidR="00EA3E77" w:rsidRPr="00BD3276">
        <w:rPr>
          <w:sz w:val="24"/>
          <w:szCs w:val="24"/>
        </w:rPr>
        <w:t>10</w:t>
      </w:r>
      <w:r w:rsidRPr="00BD3276">
        <w:rPr>
          <w:sz w:val="24"/>
          <w:szCs w:val="24"/>
        </w:rPr>
        <w:t xml:space="preserve"> на Насоките</w:t>
      </w:r>
      <w:r w:rsidR="00915876" w:rsidRPr="00915876">
        <w:t xml:space="preserve"> </w:t>
      </w:r>
      <w:r w:rsidR="00915876" w:rsidRPr="00915876">
        <w:rPr>
          <w:sz w:val="24"/>
          <w:szCs w:val="24"/>
        </w:rPr>
        <w:t>или кандидатът се окаже недопустим за финансиране с помощ за „консултантски и помощни услуги за иновации в полза на МСП“</w:t>
      </w:r>
      <w:r w:rsidRPr="00BD3276">
        <w:rPr>
          <w:sz w:val="24"/>
          <w:szCs w:val="24"/>
        </w:rPr>
        <w:t>, за съответния кандидат ще бъде издадено Решение за отказ за предоставяне на безвъзмездна финансова помощ.</w:t>
      </w:r>
    </w:p>
    <w:p w:rsidR="00315DC8" w:rsidRPr="00BD3276" w:rsidRDefault="00315DC8" w:rsidP="00DC14A3">
      <w:pPr>
        <w:pStyle w:val="Heading3"/>
        <w:spacing w:before="0" w:after="120"/>
        <w:rPr>
          <w:sz w:val="24"/>
          <w:szCs w:val="24"/>
        </w:rPr>
      </w:pPr>
      <w:bookmarkStart w:id="14" w:name="_Toc418791445"/>
      <w:r w:rsidRPr="00BD3276">
        <w:rPr>
          <w:sz w:val="24"/>
          <w:szCs w:val="24"/>
        </w:rPr>
        <w:t>11.2 Критерии за недопустимост на кандидатите</w:t>
      </w:r>
      <w:bookmarkEnd w:id="14"/>
    </w:p>
    <w:p w:rsidR="008C6F82" w:rsidRDefault="006D0786"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1)</w:t>
      </w:r>
      <w:r w:rsidR="006072DE">
        <w:rPr>
          <w:sz w:val="24"/>
          <w:szCs w:val="24"/>
        </w:rPr>
        <w:t xml:space="preserve"> </w:t>
      </w:r>
      <w:r w:rsidR="008C6F82" w:rsidRPr="00BD3276">
        <w:rPr>
          <w:sz w:val="24"/>
          <w:szCs w:val="24"/>
        </w:rPr>
        <w:t xml:space="preserve">Потенциалните кандидати </w:t>
      </w:r>
      <w:r w:rsidR="008C6F82" w:rsidRPr="00BD3276">
        <w:rPr>
          <w:b/>
          <w:sz w:val="24"/>
          <w:szCs w:val="24"/>
        </w:rPr>
        <w:t>не могат</w:t>
      </w:r>
      <w:r w:rsidR="008C6F82" w:rsidRPr="00BD3276">
        <w:rPr>
          <w:sz w:val="24"/>
          <w:szCs w:val="24"/>
        </w:rPr>
        <w:t xml:space="preserve"> да участват в процедурата за подбор на проекти и да получат безвъзмездна финансова помощ</w:t>
      </w:r>
      <w:r w:rsidR="003E23BD">
        <w:rPr>
          <w:sz w:val="24"/>
          <w:szCs w:val="24"/>
        </w:rPr>
        <w:t>,</w:t>
      </w:r>
      <w:r w:rsidR="008C6F82" w:rsidRPr="00BD3276">
        <w:rPr>
          <w:sz w:val="24"/>
          <w:szCs w:val="24"/>
        </w:rPr>
        <w:t xml:space="preserve"> в случай че:</w:t>
      </w:r>
    </w:p>
    <w:p w:rsidR="00EE61A1" w:rsidRPr="00BD3276" w:rsidRDefault="00EE61A1"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C6F82" w:rsidRPr="00BD3276" w:rsidRDefault="008967E8"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a)</w:t>
      </w:r>
      <w:r w:rsidR="00A1673C" w:rsidRPr="00BD3276">
        <w:rPr>
          <w:sz w:val="24"/>
          <w:szCs w:val="24"/>
        </w:rPr>
        <w:t xml:space="preserve"> </w:t>
      </w:r>
      <w:r w:rsidR="008C6F82" w:rsidRPr="00BD3276">
        <w:rPr>
          <w:sz w:val="24"/>
          <w:szCs w:val="24"/>
        </w:rPr>
        <w:t>са обявени в несъстоятелност или са</w:t>
      </w:r>
      <w:r w:rsidR="00DB6BE4" w:rsidRPr="00BD3276">
        <w:rPr>
          <w:sz w:val="24"/>
          <w:szCs w:val="24"/>
        </w:rPr>
        <w:t xml:space="preserve"> в ликвидация</w:t>
      </w:r>
      <w:r w:rsidR="008C6F82" w:rsidRPr="00BD3276">
        <w:rPr>
          <w:sz w:val="24"/>
          <w:szCs w:val="24"/>
        </w:rPr>
        <w:t>, тяхната дейност е поставена под съдебен надзор, са сключили споразумение с кредитори, са преустановили дейност</w:t>
      </w:r>
      <w:r w:rsidR="00DB6BE4" w:rsidRPr="00BD3276">
        <w:rPr>
          <w:sz w:val="24"/>
          <w:szCs w:val="24"/>
        </w:rPr>
        <w:t>та си</w:t>
      </w:r>
      <w:r w:rsidR="008C6F82" w:rsidRPr="00BD3276">
        <w:rPr>
          <w:sz w:val="24"/>
          <w:szCs w:val="24"/>
        </w:rPr>
        <w:t>, са обект на производство, свързано с такива въпроси или се намират в подобна процедура съгласно националните законови и подзаконови актове;</w:t>
      </w:r>
    </w:p>
    <w:p w:rsidR="008C6F82" w:rsidRPr="00BD327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б) </w:t>
      </w:r>
      <w:r w:rsidR="00DB6BE4" w:rsidRPr="00BD3276">
        <w:rPr>
          <w:sz w:val="24"/>
          <w:szCs w:val="24"/>
        </w:rPr>
        <w:t>те или лицата с правомощия за представителство, вземане на решения или контрол спрямо тях са осъдени за престъпление по служба с влязла в сила присъда</w:t>
      </w:r>
      <w:r w:rsidRPr="00BD3276">
        <w:rPr>
          <w:sz w:val="24"/>
          <w:szCs w:val="24"/>
        </w:rPr>
        <w:t>;</w:t>
      </w:r>
    </w:p>
    <w:p w:rsidR="008C6F82" w:rsidRPr="00BD327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в) признати са за виновни за тежки правонарушения при упражняване на професионална</w:t>
      </w:r>
      <w:r w:rsidR="00DB6BE4" w:rsidRPr="00BD3276">
        <w:rPr>
          <w:sz w:val="24"/>
          <w:szCs w:val="24"/>
        </w:rPr>
        <w:t>та си</w:t>
      </w:r>
      <w:r w:rsidRPr="00BD3276">
        <w:rPr>
          <w:sz w:val="24"/>
          <w:szCs w:val="24"/>
        </w:rPr>
        <w:t xml:space="preserve"> дейност, доказани с всякакви средства, които </w:t>
      </w:r>
      <w:r w:rsidR="002D6F2E" w:rsidRPr="00BD3276">
        <w:rPr>
          <w:sz w:val="24"/>
          <w:szCs w:val="24"/>
        </w:rPr>
        <w:t>Управляващия</w:t>
      </w:r>
      <w:r w:rsidRPr="00BD3276">
        <w:rPr>
          <w:sz w:val="24"/>
          <w:szCs w:val="24"/>
        </w:rPr>
        <w:t xml:space="preserve"> орган </w:t>
      </w:r>
      <w:r w:rsidRPr="00BD3276">
        <w:rPr>
          <w:sz w:val="24"/>
          <w:szCs w:val="24"/>
        </w:rPr>
        <w:lastRenderedPageBreak/>
        <w:t>може да обоснове включително с решения на Европейската инвестиционна банка и на международни организации;</w:t>
      </w:r>
    </w:p>
    <w:p w:rsidR="008C6F82" w:rsidRPr="00BD327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г) не са изпълнили задължения, свързани с плащане на вноски за социално осигуряване или плащане на данъци по българското законодателство</w:t>
      </w:r>
      <w:r w:rsidR="005415EE" w:rsidRPr="00BD3276">
        <w:rPr>
          <w:rFonts w:ascii="Verdana" w:eastAsia="Times New Roman" w:hAnsi="Verdana" w:cs="Times New Roman"/>
          <w:snapToGrid w:val="0"/>
          <w:sz w:val="20"/>
          <w:szCs w:val="20"/>
        </w:rPr>
        <w:t>,</w:t>
      </w:r>
      <w:r w:rsidR="005415EE" w:rsidRPr="00BD3276">
        <w:rPr>
          <w:rFonts w:ascii="Times New Roman" w:eastAsia="Times New Roman" w:hAnsi="Times New Roman" w:cs="Times New Roman"/>
          <w:snapToGrid w:val="0"/>
          <w:sz w:val="24"/>
          <w:szCs w:val="20"/>
        </w:rPr>
        <w:t xml:space="preserve"> </w:t>
      </w:r>
      <w:r w:rsidR="005415EE" w:rsidRPr="00BD3276">
        <w:rPr>
          <w:sz w:val="24"/>
          <w:szCs w:val="24"/>
        </w:rPr>
        <w:t>освен ако е допуснато разсрочване или отсрочване на задълженията;</w:t>
      </w:r>
    </w:p>
    <w:p w:rsidR="005C2CCB" w:rsidRPr="00BD327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д) </w:t>
      </w:r>
      <w:r w:rsidR="00DB6BE4" w:rsidRPr="00BD3276">
        <w:rPr>
          <w:sz w:val="24"/>
          <w:szCs w:val="24"/>
        </w:rPr>
        <w:t>те или лицата с правомощия за представителство, вземане на решения или контрол спрямо тях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rsidR="008C6F82" w:rsidRPr="00BD3276" w:rsidDel="005D355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sidDel="005D3556">
        <w:rPr>
          <w:sz w:val="24"/>
          <w:szCs w:val="24"/>
        </w:rPr>
        <w:t xml:space="preserve">е) им е наложено административно наказание отстраняване на съответния кандидат или </w:t>
      </w:r>
      <w:proofErr w:type="spellStart"/>
      <w:r w:rsidRPr="00BD3276" w:rsidDel="005D3556">
        <w:rPr>
          <w:sz w:val="24"/>
          <w:szCs w:val="24"/>
        </w:rPr>
        <w:t>оферент</w:t>
      </w:r>
      <w:proofErr w:type="spellEnd"/>
      <w:r w:rsidRPr="00BD3276" w:rsidDel="005D3556">
        <w:rPr>
          <w:sz w:val="24"/>
          <w:szCs w:val="24"/>
        </w:rPr>
        <w:t xml:space="preserve"> , или изпълнител от поръчките или безвъзмездните средства от бюджета на ЕС за срок до 10 години </w:t>
      </w:r>
      <w:r w:rsidR="004C2CB5" w:rsidRPr="00BD3276">
        <w:rPr>
          <w:sz w:val="24"/>
          <w:szCs w:val="24"/>
        </w:rPr>
        <w:t>поради</w:t>
      </w:r>
      <w:r w:rsidRPr="00BD3276" w:rsidDel="005D3556">
        <w:rPr>
          <w:sz w:val="24"/>
          <w:szCs w:val="24"/>
        </w:rPr>
        <w:t>:</w:t>
      </w:r>
    </w:p>
    <w:p w:rsidR="00144EDD" w:rsidRPr="00BD3276" w:rsidRDefault="00CF37C9"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 </w:t>
      </w:r>
      <w:r w:rsidR="008C6F82" w:rsidRPr="00BD3276" w:rsidDel="005D3556">
        <w:rPr>
          <w:sz w:val="24"/>
          <w:szCs w:val="24"/>
        </w:rPr>
        <w:t>умишлено представяне на документи с невярно съдържание при осигуряване на информацията, изискана като условие за участие в процедура, или за непредоставяне на тази информация;</w:t>
      </w:r>
      <w:r w:rsidR="00144EDD" w:rsidRPr="00BD3276">
        <w:rPr>
          <w:sz w:val="24"/>
          <w:szCs w:val="24"/>
        </w:rPr>
        <w:t xml:space="preserve"> </w:t>
      </w:r>
    </w:p>
    <w:p w:rsidR="008C6F82" w:rsidRPr="00BD3276" w:rsidDel="005D3556" w:rsidRDefault="00CF37C9"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 </w:t>
      </w:r>
      <w:r w:rsidR="008C6F82" w:rsidRPr="00BD3276" w:rsidDel="005D3556">
        <w:rPr>
          <w:sz w:val="24"/>
          <w:szCs w:val="24"/>
        </w:rPr>
        <w:t>сериозно нарушение на техните задължения по договори, финансирани от бюджета на ЕС.</w:t>
      </w:r>
    </w:p>
    <w:p w:rsidR="008C6F82" w:rsidRPr="00BD3276" w:rsidRDefault="008C6F82" w:rsidP="008C6F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ж) са обект на конфликт на интереси по смисъла на </w:t>
      </w:r>
      <w:r w:rsidR="00F319BF" w:rsidRPr="00BD3276">
        <w:rPr>
          <w:sz w:val="24"/>
          <w:szCs w:val="24"/>
        </w:rPr>
        <w:t xml:space="preserve">член </w:t>
      </w:r>
      <w:r w:rsidRPr="00BD3276">
        <w:rPr>
          <w:sz w:val="24"/>
          <w:szCs w:val="24"/>
        </w:rPr>
        <w:t xml:space="preserve">57 от Регламент (ЕС, ЕВРАТОМ) № 966/2012 на Европейския парламент и на Съвета от 25 октомври 2012 относно финансовите правила, приложими за общия бюджет на Съюза и за отмяна на Регламент (ЕО, </w:t>
      </w:r>
      <w:proofErr w:type="spellStart"/>
      <w:r w:rsidRPr="00BD3276">
        <w:rPr>
          <w:sz w:val="24"/>
          <w:szCs w:val="24"/>
        </w:rPr>
        <w:t>Евратом</w:t>
      </w:r>
      <w:proofErr w:type="spellEnd"/>
      <w:r w:rsidRPr="00BD3276">
        <w:rPr>
          <w:sz w:val="24"/>
          <w:szCs w:val="24"/>
        </w:rPr>
        <w:t>) № 1605/2002 на Съвета, включително и:</w:t>
      </w:r>
    </w:p>
    <w:p w:rsidR="008C6F82" w:rsidRPr="00BD3276" w:rsidRDefault="008C6F82" w:rsidP="00D2291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i) които и/или при които член на управителен или контролен орган, както и временно изпълняващ такава длъжност, включително прокурист или търговски пълномощник, е свързано лице по смисъла на § 1, т. 1 от допълнителната разпоредба на Закона за предотвратяване и установяване на конфликт на интереси с рък</w:t>
      </w:r>
      <w:r w:rsidR="005415EE" w:rsidRPr="00BD3276">
        <w:rPr>
          <w:sz w:val="24"/>
          <w:szCs w:val="24"/>
        </w:rPr>
        <w:t>оводителя на Управляващия орган</w:t>
      </w:r>
      <w:r w:rsidRPr="00BD3276">
        <w:rPr>
          <w:sz w:val="24"/>
          <w:szCs w:val="24"/>
        </w:rPr>
        <w:t xml:space="preserve"> или със служители на ръководн</w:t>
      </w:r>
      <w:r w:rsidR="005415EE" w:rsidRPr="00BD3276">
        <w:rPr>
          <w:sz w:val="24"/>
          <w:szCs w:val="24"/>
        </w:rPr>
        <w:t>а длъжност в Управляващия орган</w:t>
      </w:r>
      <w:r w:rsidRPr="00BD3276">
        <w:rPr>
          <w:sz w:val="24"/>
          <w:szCs w:val="24"/>
        </w:rPr>
        <w:t>;</w:t>
      </w:r>
    </w:p>
    <w:p w:rsidR="008C6F82" w:rsidRPr="00BD3276" w:rsidRDefault="008C6F82" w:rsidP="00D2291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ii) с които лице, на трудово или служебно прав</w:t>
      </w:r>
      <w:r w:rsidR="005415EE" w:rsidRPr="00BD3276">
        <w:rPr>
          <w:sz w:val="24"/>
          <w:szCs w:val="24"/>
        </w:rPr>
        <w:t>оотношение в Управляващия орган</w:t>
      </w:r>
      <w:r w:rsidRPr="00BD3276">
        <w:rPr>
          <w:sz w:val="24"/>
          <w:szCs w:val="24"/>
        </w:rPr>
        <w:t xml:space="preserve"> до една година от прекратяване на правоотношението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rsidR="00144EDD" w:rsidRPr="00BD3276" w:rsidRDefault="008C6F82" w:rsidP="00D2291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iii) ограниченията по т. ii се прилагат и за кандидатите, които са свързани с дружества, за които са налице обстоятелствата по предходната точка;</w:t>
      </w:r>
    </w:p>
    <w:p w:rsidR="008C6F82" w:rsidRPr="00BD3276" w:rsidRDefault="008C6F82" w:rsidP="00D2291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iv) е лице или се представлява от лице, което е на трудово или служебно правоотношение в Управляващия орган до една година от прекратяване на правоотношението;</w:t>
      </w:r>
    </w:p>
    <w:p w:rsidR="008C6F82" w:rsidRPr="00BD3276" w:rsidRDefault="008C6F82" w:rsidP="00D22912">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v) конфликт на интереси е налице и когато лицето, предоставящо консултантски услуги на кандидата, попада в случаите по т. i – iv.</w:t>
      </w:r>
    </w:p>
    <w:p w:rsidR="008C6F82" w:rsidRPr="00BD3276" w:rsidRDefault="008C6F82" w:rsidP="00F95100">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sz w:val="24"/>
          <w:szCs w:val="24"/>
        </w:rPr>
      </w:pPr>
      <w:r w:rsidRPr="00BD3276">
        <w:rPr>
          <w:sz w:val="24"/>
          <w:szCs w:val="24"/>
        </w:rPr>
        <w:t>з) умишлено са представили невярна информация с оглед получаване на безвъзмездна помощ по настоящата процедура или не са представили изискваната информация.</w:t>
      </w:r>
    </w:p>
    <w:p w:rsidR="00CF37C9" w:rsidRDefault="00A1673C" w:rsidP="007501F1">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before="120" w:after="120" w:line="240" w:lineRule="auto"/>
        <w:jc w:val="both"/>
        <w:rPr>
          <w:rFonts w:eastAsia="Times New Roman" w:cstheme="minorHAnsi"/>
          <w:snapToGrid w:val="0"/>
          <w:sz w:val="24"/>
          <w:szCs w:val="20"/>
        </w:rPr>
      </w:pPr>
      <w:r w:rsidRPr="00ED36F7">
        <w:rPr>
          <w:rFonts w:eastAsia="Times New Roman" w:cstheme="minorHAnsi"/>
          <w:b/>
          <w:snapToGrid w:val="0"/>
          <w:sz w:val="24"/>
          <w:szCs w:val="20"/>
        </w:rPr>
        <w:t>ВАЖНО</w:t>
      </w:r>
      <w:r w:rsidRPr="00ED36F7">
        <w:rPr>
          <w:rFonts w:eastAsia="Times New Roman" w:cstheme="minorHAnsi"/>
          <w:snapToGrid w:val="0"/>
          <w:sz w:val="24"/>
          <w:szCs w:val="20"/>
        </w:rPr>
        <w:t>:</w:t>
      </w:r>
      <w:r w:rsidRPr="00BD3276">
        <w:rPr>
          <w:rFonts w:eastAsia="Times New Roman" w:cstheme="minorHAnsi"/>
          <w:snapToGrid w:val="0"/>
          <w:sz w:val="24"/>
          <w:szCs w:val="20"/>
        </w:rPr>
        <w:t xml:space="preserve"> </w:t>
      </w:r>
      <w:r w:rsidR="00701BE1" w:rsidRPr="00BD3276">
        <w:rPr>
          <w:rFonts w:eastAsia="Times New Roman" w:cstheme="minorHAnsi"/>
          <w:snapToGrid w:val="0"/>
          <w:sz w:val="24"/>
          <w:szCs w:val="20"/>
        </w:rPr>
        <w:t xml:space="preserve">Съгласно чл. 9, ал. 4 и 5 във връзка с чл. 9, ал. 2 от </w:t>
      </w:r>
      <w:r w:rsidR="00701BE1" w:rsidRPr="00BD3276">
        <w:rPr>
          <w:rFonts w:eastAsia="Times New Roman" w:cstheme="minorHAnsi"/>
          <w:snapToGrid w:val="0"/>
          <w:sz w:val="24"/>
          <w:szCs w:val="24"/>
        </w:rPr>
        <w:t>ПМС № 107/10.05.2014 г. и</w:t>
      </w:r>
      <w:r w:rsidR="00701BE1" w:rsidRPr="00BD3276">
        <w:rPr>
          <w:rFonts w:eastAsia="Times New Roman" w:cstheme="minorHAnsi"/>
          <w:snapToGrid w:val="0"/>
          <w:sz w:val="24"/>
          <w:szCs w:val="20"/>
        </w:rPr>
        <w:t xml:space="preserve">зискванията </w:t>
      </w:r>
      <w:r w:rsidRPr="00BD3276">
        <w:rPr>
          <w:rFonts w:eastAsia="Times New Roman" w:cstheme="minorHAnsi"/>
          <w:snapToGrid w:val="0"/>
          <w:sz w:val="24"/>
          <w:szCs w:val="20"/>
        </w:rPr>
        <w:t xml:space="preserve">по точки (б), (в), (д), (е), (ж) и (з) се отнасят </w:t>
      </w:r>
      <w:r w:rsidR="00701BE1" w:rsidRPr="00BD3276">
        <w:rPr>
          <w:rFonts w:eastAsia="Times New Roman" w:cstheme="minorHAnsi"/>
          <w:snapToGrid w:val="0"/>
          <w:sz w:val="24"/>
          <w:szCs w:val="20"/>
        </w:rPr>
        <w:t xml:space="preserve">и </w:t>
      </w:r>
      <w:r w:rsidRPr="00BD3276">
        <w:rPr>
          <w:rFonts w:eastAsia="Times New Roman" w:cstheme="minorHAnsi"/>
          <w:b/>
          <w:snapToGrid w:val="0"/>
          <w:sz w:val="24"/>
          <w:szCs w:val="20"/>
        </w:rPr>
        <w:t>за всички лица</w:t>
      </w:r>
      <w:r w:rsidR="00A101BC">
        <w:rPr>
          <w:rFonts w:eastAsia="Times New Roman" w:cstheme="minorHAnsi"/>
          <w:b/>
          <w:snapToGrid w:val="0"/>
          <w:sz w:val="24"/>
          <w:szCs w:val="20"/>
        </w:rPr>
        <w:t xml:space="preserve"> с право</w:t>
      </w:r>
      <w:r w:rsidRPr="00BD3276">
        <w:rPr>
          <w:rFonts w:eastAsia="Times New Roman" w:cstheme="minorHAnsi"/>
          <w:b/>
          <w:snapToGrid w:val="0"/>
          <w:sz w:val="24"/>
          <w:szCs w:val="20"/>
        </w:rPr>
        <w:t xml:space="preserve"> да представляват предприятието-кандидат</w:t>
      </w:r>
      <w:r w:rsidR="00B033F8">
        <w:rPr>
          <w:rStyle w:val="FootnoteReference"/>
          <w:rFonts w:eastAsia="Times New Roman" w:cstheme="minorHAnsi"/>
          <w:b/>
          <w:snapToGrid w:val="0"/>
          <w:sz w:val="24"/>
          <w:szCs w:val="20"/>
        </w:rPr>
        <w:footnoteReference w:id="8"/>
      </w:r>
      <w:r w:rsidRPr="00BD3276">
        <w:rPr>
          <w:rFonts w:eastAsia="Times New Roman" w:cstheme="minorHAnsi"/>
          <w:snapToGrid w:val="0"/>
          <w:sz w:val="24"/>
          <w:szCs w:val="20"/>
        </w:rPr>
        <w:t>.</w:t>
      </w:r>
      <w:r w:rsidR="00C416FF" w:rsidRPr="00BD3276">
        <w:rPr>
          <w:rFonts w:eastAsia="Times New Roman" w:cstheme="minorHAnsi"/>
          <w:snapToGrid w:val="0"/>
          <w:sz w:val="24"/>
          <w:szCs w:val="20"/>
        </w:rPr>
        <w:t xml:space="preserve"> </w:t>
      </w:r>
      <w:r w:rsidRPr="00BD3276">
        <w:rPr>
          <w:rFonts w:eastAsia="Times New Roman" w:cstheme="minorHAnsi"/>
          <w:snapToGrid w:val="0"/>
          <w:sz w:val="24"/>
          <w:szCs w:val="24"/>
        </w:rPr>
        <w:t xml:space="preserve">Кандидатите са длъжни да декларират, че не </w:t>
      </w:r>
      <w:r w:rsidRPr="00BD3276">
        <w:rPr>
          <w:rFonts w:eastAsia="Times New Roman" w:cstheme="minorHAnsi"/>
          <w:snapToGrid w:val="0"/>
          <w:sz w:val="24"/>
          <w:szCs w:val="24"/>
        </w:rPr>
        <w:lastRenderedPageBreak/>
        <w:t>попадат в някоя от категориите, посочени в точки от (a) до (з), к</w:t>
      </w:r>
      <w:r w:rsidR="00CC4815" w:rsidRPr="00BD3276">
        <w:rPr>
          <w:rFonts w:eastAsia="Times New Roman" w:cstheme="minorHAnsi"/>
          <w:snapToGrid w:val="0"/>
          <w:sz w:val="24"/>
          <w:szCs w:val="24"/>
        </w:rPr>
        <w:t>ато попълнят Декларация по чл. 9</w:t>
      </w:r>
      <w:r w:rsidR="00D56700" w:rsidRPr="00BD3276">
        <w:rPr>
          <w:rFonts w:eastAsia="Times New Roman" w:cstheme="minorHAnsi"/>
          <w:snapToGrid w:val="0"/>
          <w:sz w:val="24"/>
          <w:szCs w:val="24"/>
        </w:rPr>
        <w:t>, ал. 8, т. 1 от ПМС № 107/10.05.2014</w:t>
      </w:r>
      <w:r w:rsidR="006A7E3B">
        <w:rPr>
          <w:rFonts w:eastAsia="Times New Roman" w:cstheme="minorHAnsi"/>
          <w:snapToGrid w:val="0"/>
          <w:sz w:val="24"/>
          <w:szCs w:val="24"/>
        </w:rPr>
        <w:t xml:space="preserve"> г. (</w:t>
      </w:r>
      <w:r w:rsidR="006A7E3B" w:rsidRPr="00CF461F">
        <w:rPr>
          <w:rFonts w:eastAsia="Times New Roman" w:cstheme="minorHAnsi"/>
          <w:snapToGrid w:val="0"/>
          <w:sz w:val="24"/>
          <w:szCs w:val="24"/>
        </w:rPr>
        <w:t xml:space="preserve">Приложение </w:t>
      </w:r>
      <w:r w:rsidR="00F710BF" w:rsidRPr="00CF461F">
        <w:rPr>
          <w:rFonts w:eastAsia="Times New Roman" w:cstheme="minorHAnsi"/>
          <w:snapToGrid w:val="0"/>
          <w:sz w:val="24"/>
          <w:szCs w:val="24"/>
        </w:rPr>
        <w:t>Г</w:t>
      </w:r>
      <w:r w:rsidRPr="00CF461F">
        <w:rPr>
          <w:rFonts w:eastAsia="Times New Roman" w:cstheme="minorHAnsi"/>
          <w:snapToGrid w:val="0"/>
          <w:sz w:val="24"/>
          <w:szCs w:val="24"/>
        </w:rPr>
        <w:t xml:space="preserve"> към</w:t>
      </w:r>
      <w:r w:rsidRPr="00BD3276">
        <w:rPr>
          <w:rFonts w:eastAsia="Times New Roman" w:cstheme="minorHAnsi"/>
          <w:snapToGrid w:val="0"/>
          <w:sz w:val="24"/>
          <w:szCs w:val="24"/>
        </w:rPr>
        <w:t xml:space="preserve"> Насоките за кандидатстване).</w:t>
      </w:r>
      <w:r w:rsidR="00C416FF" w:rsidRPr="00BD3276">
        <w:rPr>
          <w:rFonts w:eastAsia="Times New Roman" w:cstheme="minorHAnsi"/>
          <w:snapToGrid w:val="0"/>
          <w:sz w:val="24"/>
          <w:szCs w:val="20"/>
        </w:rPr>
        <w:t xml:space="preserve"> </w:t>
      </w:r>
      <w:r w:rsidRPr="00BD3276">
        <w:rPr>
          <w:rFonts w:eastAsia="Times New Roman" w:cstheme="minorHAnsi"/>
          <w:snapToGrid w:val="0"/>
          <w:sz w:val="24"/>
          <w:szCs w:val="24"/>
        </w:rPr>
        <w:t>Моля</w:t>
      </w:r>
      <w:r w:rsidR="007501F1">
        <w:rPr>
          <w:rFonts w:eastAsia="Times New Roman" w:cstheme="minorHAnsi"/>
          <w:snapToGrid w:val="0"/>
          <w:sz w:val="24"/>
          <w:szCs w:val="24"/>
        </w:rPr>
        <w:t>,</w:t>
      </w:r>
      <w:r w:rsidRPr="00BD3276">
        <w:rPr>
          <w:rFonts w:eastAsia="Times New Roman" w:cstheme="minorHAnsi"/>
          <w:snapToGrid w:val="0"/>
          <w:sz w:val="24"/>
          <w:szCs w:val="24"/>
        </w:rPr>
        <w:t xml:space="preserve"> обърнете внимание, че Декларацията по </w:t>
      </w:r>
      <w:r w:rsidR="00C416FF" w:rsidRPr="00BD3276">
        <w:rPr>
          <w:rFonts w:eastAsia="Times New Roman" w:cstheme="minorHAnsi"/>
          <w:snapToGrid w:val="0"/>
          <w:sz w:val="24"/>
          <w:szCs w:val="24"/>
        </w:rPr>
        <w:t xml:space="preserve">чл. 9, ал. 8, т. 1 на ПМС № 107/10.05.2014 </w:t>
      </w:r>
      <w:r w:rsidRPr="00BD3276">
        <w:rPr>
          <w:rFonts w:eastAsia="Times New Roman" w:cstheme="minorHAnsi"/>
          <w:snapToGrid w:val="0"/>
          <w:sz w:val="24"/>
          <w:szCs w:val="24"/>
        </w:rPr>
        <w:t xml:space="preserve"> г. следва да бъде попълнена и подписана от </w:t>
      </w:r>
      <w:r w:rsidRPr="00BD3276">
        <w:rPr>
          <w:rFonts w:eastAsia="Times New Roman" w:cstheme="minorHAnsi"/>
          <w:b/>
          <w:snapToGrid w:val="0"/>
          <w:sz w:val="24"/>
          <w:szCs w:val="20"/>
        </w:rPr>
        <w:t>всички лиц</w:t>
      </w:r>
      <w:r w:rsidR="00423C93">
        <w:rPr>
          <w:rFonts w:eastAsia="Times New Roman" w:cstheme="minorHAnsi"/>
          <w:b/>
          <w:snapToGrid w:val="0"/>
          <w:sz w:val="24"/>
          <w:szCs w:val="20"/>
        </w:rPr>
        <w:t>а с право</w:t>
      </w:r>
      <w:r w:rsidRPr="00BD3276">
        <w:rPr>
          <w:rFonts w:eastAsia="Times New Roman" w:cstheme="minorHAnsi"/>
          <w:b/>
          <w:snapToGrid w:val="0"/>
          <w:sz w:val="24"/>
          <w:szCs w:val="20"/>
        </w:rPr>
        <w:t xml:space="preserve"> да представляват предприятието-кандидат (независимо от това дали го представляват заедно и/или поотделно, и/или по друг начин)</w:t>
      </w:r>
      <w:r w:rsidR="007501F1">
        <w:rPr>
          <w:rFonts w:eastAsia="Times New Roman" w:cstheme="minorHAnsi"/>
          <w:snapToGrid w:val="0"/>
          <w:sz w:val="24"/>
          <w:szCs w:val="20"/>
        </w:rPr>
        <w:t xml:space="preserve">. </w:t>
      </w:r>
    </w:p>
    <w:p w:rsidR="006072DE" w:rsidRDefault="006072DE" w:rsidP="00F9510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1209AF" w:rsidRPr="00BD3276" w:rsidRDefault="006D0786" w:rsidP="00F9510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b/>
          <w:sz w:val="24"/>
          <w:szCs w:val="24"/>
        </w:rPr>
        <w:t>2)</w:t>
      </w:r>
      <w:r w:rsidR="006072DE">
        <w:rPr>
          <w:sz w:val="24"/>
          <w:szCs w:val="24"/>
        </w:rPr>
        <w:t xml:space="preserve"> </w:t>
      </w:r>
      <w:r w:rsidR="008E7749" w:rsidRPr="00C4130D">
        <w:rPr>
          <w:sz w:val="24"/>
          <w:szCs w:val="24"/>
        </w:rPr>
        <w:t xml:space="preserve">Потенциалните кандидати </w:t>
      </w:r>
      <w:r w:rsidR="00562CBD" w:rsidRPr="00C4130D">
        <w:rPr>
          <w:b/>
          <w:sz w:val="24"/>
          <w:szCs w:val="24"/>
        </w:rPr>
        <w:t xml:space="preserve">не могат да </w:t>
      </w:r>
      <w:r w:rsidR="00C4130D" w:rsidRPr="00C4130D">
        <w:rPr>
          <w:b/>
          <w:sz w:val="24"/>
          <w:szCs w:val="24"/>
        </w:rPr>
        <w:t>участват</w:t>
      </w:r>
      <w:r w:rsidR="006C261D" w:rsidRPr="006C261D">
        <w:rPr>
          <w:b/>
          <w:sz w:val="24"/>
          <w:szCs w:val="24"/>
        </w:rPr>
        <w:t xml:space="preserve"> </w:t>
      </w:r>
      <w:r w:rsidR="008E7749" w:rsidRPr="00BD3276">
        <w:rPr>
          <w:sz w:val="24"/>
          <w:szCs w:val="24"/>
        </w:rPr>
        <w:t>в процедурата и да получат безвъзмезд</w:t>
      </w:r>
      <w:r w:rsidR="00522524" w:rsidRPr="00BD3276">
        <w:rPr>
          <w:sz w:val="24"/>
          <w:szCs w:val="24"/>
        </w:rPr>
        <w:t xml:space="preserve">на финансова помощ, в случай че </w:t>
      </w:r>
      <w:r w:rsidR="0007015D" w:rsidRPr="00BD3276">
        <w:rPr>
          <w:sz w:val="24"/>
          <w:szCs w:val="24"/>
        </w:rPr>
        <w:t xml:space="preserve">попадат в </w:t>
      </w:r>
      <w:r w:rsidR="0007015D" w:rsidRPr="00BD3276">
        <w:rPr>
          <w:b/>
          <w:sz w:val="24"/>
          <w:szCs w:val="24"/>
        </w:rPr>
        <w:t>забранителните режими</w:t>
      </w:r>
      <w:r w:rsidR="0007015D" w:rsidRPr="00BD3276">
        <w:rPr>
          <w:sz w:val="24"/>
          <w:szCs w:val="24"/>
        </w:rPr>
        <w:t xml:space="preserve"> на </w:t>
      </w:r>
      <w:r w:rsidR="00834BB0" w:rsidRPr="00BD3276">
        <w:rPr>
          <w:bCs/>
          <w:sz w:val="24"/>
          <w:szCs w:val="24"/>
        </w:rPr>
        <w:t>Регламент на Комисията (ЕС) № 651/2014</w:t>
      </w:r>
      <w:r w:rsidR="0007015D" w:rsidRPr="00BD3276">
        <w:rPr>
          <w:bCs/>
          <w:sz w:val="24"/>
          <w:szCs w:val="24"/>
        </w:rPr>
        <w:t xml:space="preserve"> </w:t>
      </w:r>
      <w:r w:rsidR="00C4130D">
        <w:rPr>
          <w:bCs/>
          <w:sz w:val="24"/>
          <w:szCs w:val="24"/>
        </w:rPr>
        <w:t xml:space="preserve">и </w:t>
      </w:r>
      <w:r w:rsidR="00C4130D" w:rsidRPr="00C4130D">
        <w:rPr>
          <w:bCs/>
          <w:sz w:val="24"/>
          <w:szCs w:val="24"/>
        </w:rPr>
        <w:t xml:space="preserve">Регламент на Комисията (ЕС) № 1407/2013 </w:t>
      </w:r>
      <w:r w:rsidR="0007015D" w:rsidRPr="00BD3276">
        <w:rPr>
          <w:sz w:val="24"/>
          <w:szCs w:val="24"/>
        </w:rPr>
        <w:t xml:space="preserve">и </w:t>
      </w:r>
      <w:r w:rsidR="001209AF" w:rsidRPr="00BD3276">
        <w:rPr>
          <w:sz w:val="24"/>
          <w:szCs w:val="24"/>
        </w:rPr>
        <w:t>по-</w:t>
      </w:r>
      <w:r w:rsidR="0007015D" w:rsidRPr="00BD3276">
        <w:rPr>
          <w:sz w:val="24"/>
          <w:szCs w:val="24"/>
        </w:rPr>
        <w:t>конкретно</w:t>
      </w:r>
      <w:r w:rsidR="001209AF" w:rsidRPr="00BD3276">
        <w:rPr>
          <w:sz w:val="24"/>
          <w:szCs w:val="24"/>
        </w:rPr>
        <w:t xml:space="preserve"> ако</w:t>
      </w:r>
      <w:r w:rsidR="004138BA" w:rsidRPr="00BD3276">
        <w:rPr>
          <w:sz w:val="24"/>
          <w:szCs w:val="24"/>
        </w:rPr>
        <w:t>:</w:t>
      </w:r>
    </w:p>
    <w:p w:rsidR="00D05B0C" w:rsidRPr="00BD3276" w:rsidRDefault="001209AF" w:rsidP="005100F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BD3276">
        <w:rPr>
          <w:b/>
          <w:sz w:val="24"/>
          <w:szCs w:val="24"/>
        </w:rPr>
        <w:t>А)</w:t>
      </w:r>
      <w:r w:rsidR="0007015D" w:rsidRPr="00BD3276">
        <w:rPr>
          <w:sz w:val="24"/>
          <w:szCs w:val="24"/>
        </w:rPr>
        <w:t xml:space="preserve"> </w:t>
      </w:r>
      <w:r w:rsidRPr="00BD3276">
        <w:rPr>
          <w:b/>
          <w:sz w:val="24"/>
          <w:szCs w:val="24"/>
        </w:rPr>
        <w:t>Т</w:t>
      </w:r>
      <w:r w:rsidR="0007015D" w:rsidRPr="00BD3276">
        <w:rPr>
          <w:b/>
          <w:sz w:val="24"/>
          <w:szCs w:val="24"/>
        </w:rPr>
        <w:t>яхната основна дейност или дейността, за която кандидатстват се отнася до</w:t>
      </w:r>
      <w:r w:rsidR="00252ADA" w:rsidRPr="00BD3276">
        <w:rPr>
          <w:rStyle w:val="FootnoteReference"/>
          <w:b/>
          <w:sz w:val="24"/>
          <w:szCs w:val="24"/>
        </w:rPr>
        <w:footnoteReference w:id="9"/>
      </w:r>
      <w:r w:rsidR="0007015D" w:rsidRPr="00BD3276">
        <w:rPr>
          <w:b/>
          <w:sz w:val="24"/>
          <w:szCs w:val="24"/>
        </w:rPr>
        <w:t>:</w:t>
      </w:r>
    </w:p>
    <w:p w:rsidR="00755EBB" w:rsidRPr="00BD3276" w:rsidRDefault="00437BE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сектора на рибарството и </w:t>
      </w:r>
      <w:proofErr w:type="spellStart"/>
      <w:r w:rsidRPr="00BD3276">
        <w:rPr>
          <w:sz w:val="24"/>
          <w:szCs w:val="24"/>
        </w:rPr>
        <w:t>аквакултурите</w:t>
      </w:r>
      <w:proofErr w:type="spellEnd"/>
      <w:r w:rsidRPr="00BD3276">
        <w:rPr>
          <w:sz w:val="24"/>
          <w:szCs w:val="24"/>
        </w:rPr>
        <w:t xml:space="preserve">, </w:t>
      </w:r>
      <w:r w:rsidR="006B6658" w:rsidRPr="00BD3276">
        <w:rPr>
          <w:sz w:val="24"/>
          <w:szCs w:val="24"/>
        </w:rPr>
        <w:t>уредени с</w:t>
      </w:r>
      <w:r w:rsidRPr="00BD3276">
        <w:rPr>
          <w:sz w:val="24"/>
          <w:szCs w:val="24"/>
        </w:rPr>
        <w:t xml:space="preserve"> Регламент  (ЕС) № 1379/2013;</w:t>
      </w:r>
    </w:p>
    <w:p w:rsidR="00755EBB" w:rsidRPr="00BD3276" w:rsidRDefault="007C6B76"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6B6658" w:rsidRPr="00BD3276">
        <w:rPr>
          <w:sz w:val="24"/>
          <w:szCs w:val="24"/>
        </w:rPr>
        <w:t>сектора на първично производство на селскостопански продукти</w:t>
      </w:r>
      <w:r w:rsidR="0042797A" w:rsidRPr="00BD3276">
        <w:rPr>
          <w:sz w:val="24"/>
          <w:szCs w:val="24"/>
        </w:rPr>
        <w:t>;</w:t>
      </w:r>
    </w:p>
    <w:p w:rsidR="00755EBB" w:rsidRPr="00BD3276" w:rsidRDefault="007921BF"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преработка и продажба на селскостопански продукти, в следните случаи:</w:t>
      </w:r>
    </w:p>
    <w:p w:rsidR="007921BF" w:rsidRPr="00BD3276" w:rsidRDefault="007921BF"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когато размерът на помощта е определен въз основа на цената или количеството </w:t>
      </w:r>
      <w:r w:rsidR="005E2C97" w:rsidRPr="00BD3276">
        <w:rPr>
          <w:sz w:val="24"/>
          <w:szCs w:val="24"/>
        </w:rPr>
        <w:t>на тези продукти, които се изку</w:t>
      </w:r>
      <w:r w:rsidRPr="00BD3276">
        <w:rPr>
          <w:sz w:val="24"/>
          <w:szCs w:val="24"/>
        </w:rPr>
        <w:t>пуват от първичните производители или се предлагат на пазара от съответните предприятия; или</w:t>
      </w:r>
    </w:p>
    <w:p w:rsidR="00EC033A" w:rsidRPr="00BD3276" w:rsidRDefault="007921BF"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5E2C97" w:rsidRPr="00BD3276">
        <w:rPr>
          <w:sz w:val="24"/>
          <w:szCs w:val="24"/>
        </w:rPr>
        <w:t>когато помощта е обвързана със задължението да бъде прехвърлена частично или изцяло на първичните производи</w:t>
      </w:r>
      <w:r w:rsidR="005E2C97" w:rsidRPr="00BD3276">
        <w:rPr>
          <w:sz w:val="24"/>
          <w:szCs w:val="24"/>
        </w:rPr>
        <w:softHyphen/>
        <w:t>тели</w:t>
      </w:r>
      <w:r w:rsidR="00755EBB" w:rsidRPr="00BD3276">
        <w:rPr>
          <w:sz w:val="24"/>
          <w:szCs w:val="24"/>
        </w:rPr>
        <w:t>;</w:t>
      </w:r>
    </w:p>
    <w:p w:rsidR="00166D3E" w:rsidRPr="00BD3276" w:rsidRDefault="00166D3E"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85461E" w:rsidRPr="00BD3276">
        <w:rPr>
          <w:sz w:val="24"/>
          <w:szCs w:val="24"/>
        </w:rPr>
        <w:t>сектор</w:t>
      </w:r>
      <w:r w:rsidRPr="00BD3276">
        <w:rPr>
          <w:sz w:val="24"/>
          <w:szCs w:val="24"/>
        </w:rPr>
        <w:t xml:space="preserve"> стоманодобив</w:t>
      </w:r>
      <w:r w:rsidR="006A3FF9">
        <w:rPr>
          <w:sz w:val="24"/>
          <w:szCs w:val="24"/>
        </w:rPr>
        <w:t xml:space="preserve"> в случай на регионална помощ</w:t>
      </w:r>
      <w:r w:rsidR="00A06EDA" w:rsidRPr="00BD3276">
        <w:rPr>
          <w:sz w:val="24"/>
          <w:szCs w:val="24"/>
        </w:rPr>
        <w:t>;</w:t>
      </w:r>
    </w:p>
    <w:p w:rsidR="00166D3E" w:rsidRPr="00BD3276" w:rsidRDefault="00A06ED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85461E" w:rsidRPr="00BD3276">
        <w:rPr>
          <w:sz w:val="24"/>
          <w:szCs w:val="24"/>
        </w:rPr>
        <w:t>сектор</w:t>
      </w:r>
      <w:r w:rsidR="00166D3E" w:rsidRPr="00BD3276">
        <w:rPr>
          <w:sz w:val="24"/>
          <w:szCs w:val="24"/>
        </w:rPr>
        <w:t xml:space="preserve"> въгледобив</w:t>
      </w:r>
      <w:r w:rsidR="006A3FF9">
        <w:rPr>
          <w:sz w:val="24"/>
          <w:szCs w:val="24"/>
        </w:rPr>
        <w:t xml:space="preserve"> в случай на регионална помощ</w:t>
      </w:r>
      <w:r w:rsidR="00166D3E" w:rsidRPr="00BD3276">
        <w:rPr>
          <w:sz w:val="24"/>
          <w:szCs w:val="24"/>
        </w:rPr>
        <w:t>;</w:t>
      </w:r>
    </w:p>
    <w:p w:rsidR="00166D3E" w:rsidRPr="00BD3276" w:rsidRDefault="00A06ED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85461E" w:rsidRPr="00BD3276">
        <w:rPr>
          <w:sz w:val="24"/>
          <w:szCs w:val="24"/>
        </w:rPr>
        <w:t>сектор</w:t>
      </w:r>
      <w:r w:rsidR="00166D3E" w:rsidRPr="00BD3276">
        <w:rPr>
          <w:sz w:val="24"/>
          <w:szCs w:val="24"/>
        </w:rPr>
        <w:t xml:space="preserve"> корабостроене</w:t>
      </w:r>
      <w:r w:rsidR="006A3FF9">
        <w:rPr>
          <w:sz w:val="24"/>
          <w:szCs w:val="24"/>
        </w:rPr>
        <w:t xml:space="preserve"> в случай на регионална помощ</w:t>
      </w:r>
      <w:r w:rsidR="00166D3E" w:rsidRPr="00BD3276">
        <w:rPr>
          <w:sz w:val="24"/>
          <w:szCs w:val="24"/>
        </w:rPr>
        <w:t>;</w:t>
      </w:r>
    </w:p>
    <w:p w:rsidR="00166D3E" w:rsidRPr="00BD3276" w:rsidRDefault="00A06ED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66D3E" w:rsidRPr="00BD3276">
        <w:rPr>
          <w:sz w:val="24"/>
          <w:szCs w:val="24"/>
        </w:rPr>
        <w:t>сектора за производство на синтетични влакна</w:t>
      </w:r>
      <w:r w:rsidR="006A3FF9">
        <w:rPr>
          <w:sz w:val="24"/>
          <w:szCs w:val="24"/>
        </w:rPr>
        <w:t xml:space="preserve"> в случай на регионална помощ</w:t>
      </w:r>
      <w:r w:rsidR="00166D3E" w:rsidRPr="00BD3276">
        <w:rPr>
          <w:sz w:val="24"/>
          <w:szCs w:val="24"/>
        </w:rPr>
        <w:t>;</w:t>
      </w:r>
    </w:p>
    <w:p w:rsidR="00166D3E" w:rsidRPr="00BD3276" w:rsidRDefault="00A06ED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85461E" w:rsidRPr="00BD3276">
        <w:rPr>
          <w:sz w:val="24"/>
          <w:szCs w:val="24"/>
        </w:rPr>
        <w:t>сектор</w:t>
      </w:r>
      <w:r w:rsidR="00166D3E" w:rsidRPr="00BD3276">
        <w:rPr>
          <w:sz w:val="24"/>
          <w:szCs w:val="24"/>
        </w:rPr>
        <w:t xml:space="preserve"> транспорт, както и свързаната с него инфраструктура</w:t>
      </w:r>
      <w:r w:rsidR="006A3FF9">
        <w:rPr>
          <w:sz w:val="24"/>
          <w:szCs w:val="24"/>
        </w:rPr>
        <w:t xml:space="preserve"> в случай на регионална помощ</w:t>
      </w:r>
      <w:r w:rsidR="00166D3E" w:rsidRPr="00BD3276">
        <w:rPr>
          <w:sz w:val="24"/>
          <w:szCs w:val="24"/>
        </w:rPr>
        <w:t>;</w:t>
      </w:r>
    </w:p>
    <w:p w:rsidR="0007015D" w:rsidRPr="00BD3276" w:rsidRDefault="00A06ED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85461E" w:rsidRPr="00BD3276">
        <w:rPr>
          <w:sz w:val="24"/>
          <w:szCs w:val="24"/>
        </w:rPr>
        <w:t>производство</w:t>
      </w:r>
      <w:r w:rsidR="00166D3E" w:rsidRPr="00BD3276">
        <w:rPr>
          <w:sz w:val="24"/>
          <w:szCs w:val="24"/>
        </w:rPr>
        <w:t xml:space="preserve"> и дистрибуци</w:t>
      </w:r>
      <w:r w:rsidR="009F1BEC" w:rsidRPr="00BD3276">
        <w:rPr>
          <w:sz w:val="24"/>
          <w:szCs w:val="24"/>
        </w:rPr>
        <w:t>я</w:t>
      </w:r>
      <w:r w:rsidR="00166D3E" w:rsidRPr="00BD3276">
        <w:rPr>
          <w:sz w:val="24"/>
          <w:szCs w:val="24"/>
        </w:rPr>
        <w:t xml:space="preserve"> на електроенерг</w:t>
      </w:r>
      <w:r w:rsidR="00F54DB3" w:rsidRPr="00BD3276">
        <w:rPr>
          <w:sz w:val="24"/>
          <w:szCs w:val="24"/>
        </w:rPr>
        <w:t>ия и енергийните инфраструктури</w:t>
      </w:r>
      <w:r w:rsidR="004F6DE6">
        <w:rPr>
          <w:sz w:val="24"/>
          <w:szCs w:val="24"/>
        </w:rPr>
        <w:t xml:space="preserve"> в случай на регионална помощ</w:t>
      </w:r>
      <w:r w:rsidR="00D130D7" w:rsidRPr="00BD3276">
        <w:rPr>
          <w:sz w:val="24"/>
          <w:szCs w:val="24"/>
        </w:rPr>
        <w:t>.</w:t>
      </w:r>
    </w:p>
    <w:p w:rsidR="00F92055" w:rsidRPr="00BD3276" w:rsidRDefault="00F92055" w:rsidP="00EF52D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rsidR="0085461E" w:rsidRPr="00BD3276" w:rsidRDefault="0085461E" w:rsidP="0085461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Когато кандидатът упражнява едновременно дейност в горепосочените сектори</w:t>
      </w:r>
      <w:r w:rsidR="006A2B99" w:rsidRPr="00BD3276">
        <w:rPr>
          <w:sz w:val="24"/>
          <w:szCs w:val="24"/>
        </w:rPr>
        <w:t xml:space="preserve"> по буква А)</w:t>
      </w:r>
      <w:r w:rsidRPr="00BD3276">
        <w:rPr>
          <w:sz w:val="24"/>
          <w:szCs w:val="24"/>
        </w:rPr>
        <w:t xml:space="preserve"> и </w:t>
      </w:r>
      <w:r w:rsidR="008954E1">
        <w:rPr>
          <w:sz w:val="24"/>
          <w:szCs w:val="24"/>
        </w:rPr>
        <w:t>кандидатства за дейности, попадащи в тематични области на ИСИС</w:t>
      </w:r>
      <w:r w:rsidRPr="00BD3276">
        <w:rPr>
          <w:sz w:val="24"/>
          <w:szCs w:val="24"/>
        </w:rPr>
        <w:t>, безвъзмездната помощ по тази процедура се предоставя само за дейностите</w:t>
      </w:r>
      <w:r w:rsidR="008954E1">
        <w:rPr>
          <w:sz w:val="24"/>
          <w:szCs w:val="24"/>
        </w:rPr>
        <w:t>, осъществявани в тематичните области на ИСИС</w:t>
      </w:r>
      <w:r w:rsidRPr="00BD3276">
        <w:rPr>
          <w:sz w:val="24"/>
          <w:szCs w:val="24"/>
        </w:rPr>
        <w:t xml:space="preserve">, като кандидата/бенефициента следва да води отделна счетоводна отчетност, която да гарантира отделяне на дейностите и/или разграничаване на разходите, </w:t>
      </w:r>
      <w:r w:rsidR="002F4D5D" w:rsidRPr="00BD3276">
        <w:rPr>
          <w:sz w:val="24"/>
          <w:szCs w:val="24"/>
        </w:rPr>
        <w:t xml:space="preserve">така </w:t>
      </w:r>
      <w:r w:rsidRPr="00BD3276">
        <w:rPr>
          <w:sz w:val="24"/>
          <w:szCs w:val="24"/>
        </w:rPr>
        <w:t xml:space="preserve">че дейностите в </w:t>
      </w:r>
      <w:r w:rsidR="002F4D5D" w:rsidRPr="00BD3276">
        <w:rPr>
          <w:sz w:val="24"/>
          <w:szCs w:val="24"/>
        </w:rPr>
        <w:t>горепосочените</w:t>
      </w:r>
      <w:r w:rsidRPr="00BD3276">
        <w:rPr>
          <w:sz w:val="24"/>
          <w:szCs w:val="24"/>
        </w:rPr>
        <w:t xml:space="preserve"> сектори </w:t>
      </w:r>
      <w:r w:rsidR="006A2B99" w:rsidRPr="00BD3276">
        <w:rPr>
          <w:sz w:val="24"/>
          <w:szCs w:val="24"/>
        </w:rPr>
        <w:t xml:space="preserve">по буква А) </w:t>
      </w:r>
      <w:r w:rsidR="002F4D5D" w:rsidRPr="00BD3276">
        <w:rPr>
          <w:sz w:val="24"/>
          <w:szCs w:val="24"/>
        </w:rPr>
        <w:t xml:space="preserve">да </w:t>
      </w:r>
      <w:r w:rsidRPr="00BD3276">
        <w:rPr>
          <w:sz w:val="24"/>
          <w:szCs w:val="24"/>
        </w:rPr>
        <w:t xml:space="preserve">не се ползват от </w:t>
      </w:r>
      <w:r w:rsidR="002F4D5D" w:rsidRPr="00BD3276">
        <w:rPr>
          <w:sz w:val="24"/>
          <w:szCs w:val="24"/>
        </w:rPr>
        <w:t xml:space="preserve">безвъзмездната </w:t>
      </w:r>
      <w:r w:rsidRPr="00BD3276">
        <w:rPr>
          <w:sz w:val="24"/>
          <w:szCs w:val="24"/>
        </w:rPr>
        <w:t xml:space="preserve">помощ, предоставена </w:t>
      </w:r>
      <w:r w:rsidR="002F4D5D" w:rsidRPr="00BD3276">
        <w:rPr>
          <w:sz w:val="24"/>
          <w:szCs w:val="24"/>
        </w:rPr>
        <w:t>по настоящата процедура</w:t>
      </w:r>
      <w:r w:rsidRPr="00BD3276">
        <w:rPr>
          <w:sz w:val="24"/>
          <w:szCs w:val="24"/>
        </w:rPr>
        <w:t>.</w:t>
      </w:r>
    </w:p>
    <w:p w:rsidR="003D171A" w:rsidRDefault="003D171A" w:rsidP="0085461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02639" w:rsidRPr="00BD3276" w:rsidRDefault="00802639" w:rsidP="0085461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С оглед горното кандидатът представя</w:t>
      </w:r>
      <w:r w:rsidR="00525085" w:rsidRPr="00BD3276">
        <w:rPr>
          <w:sz w:val="24"/>
          <w:szCs w:val="24"/>
        </w:rPr>
        <w:t>, като условие за плащане</w:t>
      </w:r>
      <w:r w:rsidRPr="00BD3276">
        <w:rPr>
          <w:sz w:val="24"/>
          <w:szCs w:val="24"/>
        </w:rPr>
        <w:t xml:space="preserve"> при </w:t>
      </w:r>
      <w:r w:rsidRPr="00BD3276">
        <w:rPr>
          <w:sz w:val="23"/>
          <w:szCs w:val="23"/>
        </w:rPr>
        <w:t xml:space="preserve">първото междинно плащане, при промяна или, ако няма междинни плащания, при окончателно плащане </w:t>
      </w:r>
      <w:r w:rsidR="00525085" w:rsidRPr="00BD3276">
        <w:rPr>
          <w:sz w:val="23"/>
          <w:szCs w:val="23"/>
        </w:rPr>
        <w:t>и</w:t>
      </w:r>
      <w:r w:rsidRPr="00BD3276">
        <w:rPr>
          <w:sz w:val="23"/>
          <w:szCs w:val="23"/>
        </w:rPr>
        <w:t>ндивидуален сметкоплан утвърден от ръководството на предприятието с включени в него обособените счетоводни сметки /</w:t>
      </w:r>
      <w:proofErr w:type="spellStart"/>
      <w:r w:rsidRPr="00BD3276">
        <w:rPr>
          <w:sz w:val="23"/>
          <w:szCs w:val="23"/>
        </w:rPr>
        <w:t>подсметки</w:t>
      </w:r>
      <w:proofErr w:type="spellEnd"/>
      <w:r w:rsidRPr="00BD3276">
        <w:rPr>
          <w:sz w:val="23"/>
          <w:szCs w:val="23"/>
        </w:rPr>
        <w:t>/ специално открити за проекта.</w:t>
      </w:r>
      <w:r w:rsidR="00525085" w:rsidRPr="00BD3276">
        <w:rPr>
          <w:sz w:val="23"/>
          <w:szCs w:val="23"/>
        </w:rPr>
        <w:t xml:space="preserve"> От </w:t>
      </w:r>
      <w:r w:rsidR="00A56E6D" w:rsidRPr="00BD3276">
        <w:rPr>
          <w:sz w:val="23"/>
          <w:szCs w:val="23"/>
        </w:rPr>
        <w:lastRenderedPageBreak/>
        <w:t>извлеченията/счетоводните записи по посочените в индивидуалния сметкоплан сметки следва да е видно разграничаването на разходите</w:t>
      </w:r>
      <w:r w:rsidR="00525085" w:rsidRPr="00BD3276">
        <w:rPr>
          <w:sz w:val="24"/>
          <w:szCs w:val="24"/>
        </w:rPr>
        <w:t>, така че дейностите в горепосочените сектори по буква А) да не се ползват от безвъзмездната помощ по процедурата.</w:t>
      </w:r>
    </w:p>
    <w:p w:rsidR="0085461E" w:rsidRPr="00BD3276" w:rsidRDefault="004138BA" w:rsidP="005100F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BD3276">
        <w:rPr>
          <w:b/>
          <w:sz w:val="24"/>
          <w:szCs w:val="24"/>
        </w:rPr>
        <w:t>Б) Са предприятия, които:</w:t>
      </w:r>
    </w:p>
    <w:p w:rsidR="00362978" w:rsidRDefault="00C064A0"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Б1. В случай</w:t>
      </w:r>
      <w:r w:rsidRPr="00C064A0">
        <w:rPr>
          <w:sz w:val="24"/>
          <w:szCs w:val="24"/>
        </w:rPr>
        <w:t xml:space="preserve"> че кандидатстват за регионална инвестиционна помощ</w:t>
      </w:r>
      <w:r w:rsidR="00362978" w:rsidRPr="00BD3276">
        <w:rPr>
          <w:sz w:val="24"/>
          <w:szCs w:val="24"/>
        </w:rPr>
        <w:t xml:space="preserve"> са закрили същата или подобна дейност в Европейското икономическо пространство през двете години, предхождащи </w:t>
      </w:r>
      <w:r w:rsidR="004138BA" w:rsidRPr="00BD3276">
        <w:rPr>
          <w:sz w:val="24"/>
          <w:szCs w:val="24"/>
        </w:rPr>
        <w:t>подаването на проектното предложение</w:t>
      </w:r>
      <w:r w:rsidR="00362978" w:rsidRPr="00BD3276">
        <w:rPr>
          <w:sz w:val="24"/>
          <w:szCs w:val="24"/>
        </w:rPr>
        <w:t xml:space="preserve">, или които към момента на подаване на </w:t>
      </w:r>
      <w:r w:rsidR="004138BA" w:rsidRPr="00BD3276">
        <w:rPr>
          <w:sz w:val="24"/>
          <w:szCs w:val="24"/>
        </w:rPr>
        <w:t>проектното предложение</w:t>
      </w:r>
      <w:r w:rsidR="004138BA" w:rsidRPr="00BD3276" w:rsidDel="004138BA">
        <w:rPr>
          <w:sz w:val="24"/>
          <w:szCs w:val="24"/>
        </w:rPr>
        <w:t xml:space="preserve"> </w:t>
      </w:r>
      <w:r w:rsidR="00362978" w:rsidRPr="00BD3276">
        <w:rPr>
          <w:sz w:val="24"/>
          <w:szCs w:val="24"/>
        </w:rPr>
        <w:t>имат конкретни планове да закрият такава дейност в срок до две години след приключването на първоначалната инвестиция, за която се кандидатства за помощта, в съответния регион</w:t>
      </w:r>
      <w:r w:rsidR="00677878" w:rsidRPr="00BD3276">
        <w:rPr>
          <w:sz w:val="24"/>
          <w:szCs w:val="24"/>
        </w:rPr>
        <w:t>;</w:t>
      </w:r>
    </w:p>
    <w:p w:rsidR="002C23E5" w:rsidRPr="002C23E5" w:rsidRDefault="002C23E5" w:rsidP="002C23E5">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2C23E5">
        <w:rPr>
          <w:rFonts w:ascii="Calibri" w:eastAsia="Calibri" w:hAnsi="Calibri" w:cs="Times New Roman"/>
          <w:sz w:val="24"/>
          <w:szCs w:val="24"/>
        </w:rPr>
        <w:t>Посоченото изискване следва да се прилага по следния начин:</w:t>
      </w:r>
    </w:p>
    <w:p w:rsidR="002C23E5" w:rsidRPr="002C23E5" w:rsidRDefault="002C23E5" w:rsidP="002C23E5">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2C23E5">
        <w:rPr>
          <w:rFonts w:ascii="Calibri" w:eastAsia="Calibri" w:hAnsi="Calibri" w:cs="Times New Roman"/>
          <w:sz w:val="24"/>
          <w:szCs w:val="24"/>
        </w:rPr>
        <w:t>- във връзка с това изискване кандидатът се разглежда на ниво група, която представлява една стопанска единица с общ източник на контрол, а не отделно юридическо лице;</w:t>
      </w:r>
    </w:p>
    <w:p w:rsidR="002C23E5" w:rsidRPr="002C23E5" w:rsidRDefault="002C23E5" w:rsidP="002C23E5">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2C23E5">
        <w:rPr>
          <w:rFonts w:ascii="Calibri" w:eastAsia="Calibri" w:hAnsi="Calibri" w:cs="Times New Roman"/>
          <w:sz w:val="24"/>
          <w:szCs w:val="24"/>
        </w:rPr>
        <w:t xml:space="preserve">- затварянето на същата или подобна дейност следва да се разглежда </w:t>
      </w:r>
      <w:r w:rsidR="00964858">
        <w:rPr>
          <w:rFonts w:ascii="Calibri" w:eastAsia="Calibri" w:hAnsi="Calibri" w:cs="Times New Roman"/>
          <w:sz w:val="24"/>
          <w:szCs w:val="24"/>
        </w:rPr>
        <w:t xml:space="preserve">на </w:t>
      </w:r>
      <w:r w:rsidRPr="002C23E5">
        <w:rPr>
          <w:rFonts w:ascii="Calibri" w:eastAsia="Calibri" w:hAnsi="Calibri" w:cs="Times New Roman"/>
          <w:sz w:val="24"/>
          <w:szCs w:val="24"/>
        </w:rPr>
        <w:t>ниво стопански обект, а не на нивото на даден регион или държава-членка. С други думи, дейността ще се счита за прекратена, ако кандидатът (на ниво група) закрива тази дейност, в определен стопански обект (дори ако той продължава същата или сходна дейност другаде в региона или в държавата-членка).</w:t>
      </w:r>
    </w:p>
    <w:p w:rsidR="00256B78" w:rsidRPr="00256B78" w:rsidRDefault="00256B78"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56B78">
        <w:rPr>
          <w:sz w:val="24"/>
          <w:szCs w:val="24"/>
        </w:rPr>
        <w:t xml:space="preserve">- Съгласно чл. 2, </w:t>
      </w:r>
      <w:proofErr w:type="spellStart"/>
      <w:r w:rsidRPr="00256B78">
        <w:rPr>
          <w:sz w:val="24"/>
          <w:szCs w:val="24"/>
        </w:rPr>
        <w:t>пар</w:t>
      </w:r>
      <w:proofErr w:type="spellEnd"/>
      <w:r w:rsidRPr="00256B78">
        <w:rPr>
          <w:sz w:val="24"/>
          <w:szCs w:val="24"/>
        </w:rPr>
        <w:t>. 50 от Регламент на Комисията (ЕК) №651/2014 г „същата или подобна дейност“ означава дейност, попадаща в същия клас (</w:t>
      </w:r>
      <w:proofErr w:type="spellStart"/>
      <w:r w:rsidRPr="00256B78">
        <w:rPr>
          <w:sz w:val="24"/>
          <w:szCs w:val="24"/>
        </w:rPr>
        <w:t>четирицифрен</w:t>
      </w:r>
      <w:proofErr w:type="spellEnd"/>
      <w:r w:rsidRPr="00256B78">
        <w:rPr>
          <w:sz w:val="24"/>
          <w:szCs w:val="24"/>
        </w:rPr>
        <w:t xml:space="preserve"> код) от статистическата класификация на икономическите дейности NACE </w:t>
      </w:r>
      <w:proofErr w:type="spellStart"/>
      <w:r w:rsidRPr="00256B78">
        <w:rPr>
          <w:sz w:val="24"/>
          <w:szCs w:val="24"/>
        </w:rPr>
        <w:t>Rev</w:t>
      </w:r>
      <w:proofErr w:type="spellEnd"/>
      <w:r w:rsidRPr="00256B78">
        <w:rPr>
          <w:sz w:val="24"/>
          <w:szCs w:val="24"/>
        </w:rPr>
        <w:t>. 2, която е въведена с Класификацията на икономическите дейности  КИД 2008;</w:t>
      </w:r>
    </w:p>
    <w:p w:rsidR="00256B78" w:rsidRPr="00256B78" w:rsidRDefault="00256B78"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56B78">
        <w:rPr>
          <w:sz w:val="24"/>
          <w:szCs w:val="24"/>
        </w:rPr>
        <w:t>- изискването се прилага само ако закриване</w:t>
      </w:r>
      <w:r w:rsidR="00000FFD">
        <w:rPr>
          <w:sz w:val="24"/>
          <w:szCs w:val="24"/>
        </w:rPr>
        <w:t>то</w:t>
      </w:r>
      <w:r w:rsidRPr="00256B78">
        <w:rPr>
          <w:sz w:val="24"/>
          <w:szCs w:val="24"/>
        </w:rPr>
        <w:t xml:space="preserve"> / преместване</w:t>
      </w:r>
      <w:r w:rsidR="00000FFD">
        <w:rPr>
          <w:sz w:val="24"/>
          <w:szCs w:val="24"/>
        </w:rPr>
        <w:t>то</w:t>
      </w:r>
      <w:r w:rsidRPr="00256B78">
        <w:rPr>
          <w:sz w:val="24"/>
          <w:szCs w:val="24"/>
        </w:rPr>
        <w:t xml:space="preserve"> е свързано с различни държави от Европейското икономическо пространство (ЕИП), т.е. когато закриването се извършва в една държава от ЕИП и подпомаган</w:t>
      </w:r>
      <w:r w:rsidR="008C740C">
        <w:rPr>
          <w:sz w:val="24"/>
          <w:szCs w:val="24"/>
        </w:rPr>
        <w:t>ата</w:t>
      </w:r>
      <w:r w:rsidRPr="00256B78">
        <w:rPr>
          <w:sz w:val="24"/>
          <w:szCs w:val="24"/>
        </w:rPr>
        <w:t xml:space="preserve"> инвестиция се осъществява в друга държава от ЕИП. </w:t>
      </w:r>
    </w:p>
    <w:p w:rsidR="00256B78" w:rsidRDefault="00256B78"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56B78">
        <w:rPr>
          <w:sz w:val="24"/>
          <w:szCs w:val="24"/>
        </w:rPr>
        <w:t>- закриване означава, че съответната дейност е напълно (100%), закрита в съответния стопански обект или, че дейността е частично закрита, когато това води до значителна загуба на работни места. Значителна загуба на работни места за целите на това изискване означа загуба на най-малко 100 работни места, или намаляване на работните места в стопанския обект с най-малко 50%  към датата на подаване на проектното предложение (в сравнение със средното равнище на заетостта в стопанския обект, във всяка от предходните две години);</w:t>
      </w:r>
    </w:p>
    <w:p w:rsidR="00B63CF5" w:rsidRDefault="00B63CF5"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63CF5">
        <w:rPr>
          <w:sz w:val="24"/>
          <w:szCs w:val="24"/>
        </w:rPr>
        <w:t>При установяване на обстоятелството по</w:t>
      </w:r>
      <w:r w:rsidR="002F1FC9">
        <w:rPr>
          <w:sz w:val="24"/>
          <w:szCs w:val="24"/>
        </w:rPr>
        <w:t xml:space="preserve"> </w:t>
      </w:r>
      <w:r w:rsidRPr="00B63CF5">
        <w:rPr>
          <w:sz w:val="24"/>
          <w:szCs w:val="24"/>
        </w:rPr>
        <w:t>подточка Б1 по време на изпълнение на проекта или в рамките на две години от изпълнението му, получената безвъзмездна помощ подлежи на възстановяване. Съответствието с посоченото изискване се проверява и по реда на т. 26.1 от настоящите Насоки за кандидатстване</w:t>
      </w:r>
    </w:p>
    <w:p w:rsidR="00256B78" w:rsidRPr="00256B78" w:rsidRDefault="00256B78"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2C23E5" w:rsidRPr="00BD3276" w:rsidRDefault="00256B78" w:rsidP="00256B7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56B78">
        <w:rPr>
          <w:b/>
          <w:sz w:val="24"/>
          <w:szCs w:val="24"/>
        </w:rPr>
        <w:t>Б2.</w:t>
      </w:r>
      <w:r w:rsidRPr="00256B78">
        <w:rPr>
          <w:sz w:val="24"/>
          <w:szCs w:val="24"/>
        </w:rPr>
        <w:t xml:space="preserve"> В случай че кандидатстват за регионална инвестиционна помощ и/или помощ за консултантски и помощни услуги за иновации в полза на МСП“ по чл. 28, </w:t>
      </w:r>
      <w:proofErr w:type="spellStart"/>
      <w:r w:rsidRPr="00256B78">
        <w:rPr>
          <w:sz w:val="24"/>
          <w:szCs w:val="24"/>
        </w:rPr>
        <w:t>пар</w:t>
      </w:r>
      <w:proofErr w:type="spellEnd"/>
      <w:r w:rsidRPr="00256B78">
        <w:rPr>
          <w:sz w:val="24"/>
          <w:szCs w:val="24"/>
        </w:rPr>
        <w:t>. 4 от Регламент (ЕС) № 651/2014:</w:t>
      </w:r>
    </w:p>
    <w:p w:rsidR="004138BA" w:rsidRPr="00BD3276" w:rsidRDefault="004138B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lastRenderedPageBreak/>
        <w:t>• са обект на неизпълнено разпореждане за възстановяване вследствие на предходно решение на Европейската комисия, с което дадена помощ се обявява за незаконосъобразна и несъвместима с общия пазар.</w:t>
      </w:r>
    </w:p>
    <w:p w:rsidR="004138BA" w:rsidRDefault="004138BA"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са предприятия в затруднено положение</w:t>
      </w:r>
      <w:r w:rsidR="00EE3679">
        <w:rPr>
          <w:sz w:val="24"/>
          <w:szCs w:val="24"/>
        </w:rPr>
        <w:t>, както следва:</w:t>
      </w:r>
    </w:p>
    <w:p w:rsidR="00EE3679" w:rsidRDefault="00EE3679"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1</w:t>
      </w:r>
      <w:r w:rsidR="00A66D92">
        <w:rPr>
          <w:sz w:val="24"/>
          <w:szCs w:val="24"/>
        </w:rPr>
        <w:t>.</w:t>
      </w:r>
      <w:r>
        <w:rPr>
          <w:sz w:val="24"/>
          <w:szCs w:val="24"/>
        </w:rPr>
        <w:t xml:space="preserve"> </w:t>
      </w:r>
      <w:r w:rsidRPr="00EE3679">
        <w:rPr>
          <w:sz w:val="24"/>
          <w:szCs w:val="24"/>
        </w:rPr>
        <w:t xml:space="preserve">В случай на акционерно дружество, </w:t>
      </w:r>
      <w:proofErr w:type="spellStart"/>
      <w:r w:rsidRPr="00EE3679">
        <w:rPr>
          <w:sz w:val="24"/>
          <w:szCs w:val="24"/>
        </w:rPr>
        <w:t>дружество</w:t>
      </w:r>
      <w:proofErr w:type="spellEnd"/>
      <w:r w:rsidRPr="00EE3679">
        <w:rPr>
          <w:sz w:val="24"/>
          <w:szCs w:val="24"/>
        </w:rPr>
        <w:t xml:space="preserve"> с ограничена отговорност, командитно дружество с акции или кооперация или други дружества по Приложение I към Директива 2013/34/ЕС (което не е МСП, което съществува по-малко от три години), когато неговият записан акционерен капитал е намалял с повече от половината поради натрупани загуби. Такъв е случаят, когато приспадането на натрупаните загуби от резервите (и всички други елементи, които по принцип се считат за част от собствения капитал на дружеството) води до отрицателен кумулативен резултат, който надхвърля половината от записания акционерен капитал. За целите на настоящата разпоредба под понятието „дружество с ограничена отговорност" се разбира по-специално видовете дружества, посочени в приложение I към Директива 2013/34/ЕС, а понятието „акционерен капитал" включва, когато е уместно, премии от акции.</w:t>
      </w:r>
    </w:p>
    <w:p w:rsidR="00EE3679" w:rsidRDefault="00EE3679"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Преценката относно обстоятелството по т.1 се извършва </w:t>
      </w:r>
      <w:r w:rsidR="00271EC2">
        <w:rPr>
          <w:sz w:val="24"/>
          <w:szCs w:val="24"/>
        </w:rPr>
        <w:t>по следния начин:</w:t>
      </w:r>
    </w:p>
    <w:p w:rsidR="00271EC2" w:rsidRPr="00EE3679" w:rsidRDefault="00271EC2"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Едно предприятие ще бъде считано за предприятие в затруднено положение, когато сумата на т. </w:t>
      </w:r>
      <w:r>
        <w:rPr>
          <w:sz w:val="24"/>
          <w:szCs w:val="24"/>
          <w:lang w:val="en-US"/>
        </w:rPr>
        <w:t>III</w:t>
      </w:r>
      <w:r>
        <w:rPr>
          <w:sz w:val="24"/>
          <w:szCs w:val="24"/>
        </w:rPr>
        <w:t xml:space="preserve"> „Резерв от последващи оценки“, </w:t>
      </w:r>
      <w:r>
        <w:rPr>
          <w:sz w:val="24"/>
          <w:szCs w:val="24"/>
          <w:lang w:val="en-US"/>
        </w:rPr>
        <w:t xml:space="preserve"> IV</w:t>
      </w:r>
      <w:r>
        <w:rPr>
          <w:sz w:val="24"/>
          <w:szCs w:val="24"/>
        </w:rPr>
        <w:t xml:space="preserve"> „Резерви“,</w:t>
      </w:r>
      <w:r>
        <w:rPr>
          <w:sz w:val="24"/>
          <w:szCs w:val="24"/>
          <w:lang w:val="en-US"/>
        </w:rPr>
        <w:t xml:space="preserve"> V </w:t>
      </w:r>
      <w:r>
        <w:rPr>
          <w:sz w:val="24"/>
          <w:szCs w:val="24"/>
        </w:rPr>
        <w:t>„Натрупана печалба (загуба) от минали години“ и</w:t>
      </w:r>
      <w:r>
        <w:rPr>
          <w:sz w:val="24"/>
          <w:szCs w:val="24"/>
          <w:lang w:val="en-US"/>
        </w:rPr>
        <w:t xml:space="preserve"> VI</w:t>
      </w:r>
      <w:r>
        <w:rPr>
          <w:sz w:val="24"/>
          <w:szCs w:val="24"/>
        </w:rPr>
        <w:t xml:space="preserve"> „Текуща печалба (загуба)“ от раздел А „Собствен капитал“ на пасивите, описани в Счетоводния баланс на съответното предприятие е отрицателна стойност, която надвишава 50 % от сумата на т. </w:t>
      </w:r>
      <w:r>
        <w:rPr>
          <w:sz w:val="24"/>
          <w:szCs w:val="24"/>
          <w:lang w:val="en-US"/>
        </w:rPr>
        <w:t>I</w:t>
      </w:r>
      <w:r>
        <w:rPr>
          <w:sz w:val="24"/>
          <w:szCs w:val="24"/>
        </w:rPr>
        <w:t xml:space="preserve"> „Записан капитал“ и</w:t>
      </w:r>
      <w:r>
        <w:rPr>
          <w:sz w:val="24"/>
          <w:szCs w:val="24"/>
          <w:lang w:val="en-US"/>
        </w:rPr>
        <w:t xml:space="preserve"> II</w:t>
      </w:r>
      <w:r>
        <w:rPr>
          <w:sz w:val="24"/>
          <w:szCs w:val="24"/>
        </w:rPr>
        <w:t xml:space="preserve"> „Премии от емисии“ от раздел А „Собствен капитал“ на пасивите, описани в Счетоводния баланс.</w:t>
      </w:r>
    </w:p>
    <w:p w:rsidR="00EE3679" w:rsidRPr="00EE3679" w:rsidRDefault="00EE3679"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E3679">
        <w:rPr>
          <w:sz w:val="24"/>
          <w:szCs w:val="24"/>
        </w:rPr>
        <w:t>2</w:t>
      </w:r>
      <w:r w:rsidR="00A66D92">
        <w:rPr>
          <w:sz w:val="24"/>
          <w:szCs w:val="24"/>
        </w:rPr>
        <w:t>.</w:t>
      </w:r>
      <w:r w:rsidRPr="00EE3679">
        <w:rPr>
          <w:sz w:val="24"/>
          <w:szCs w:val="24"/>
        </w:rPr>
        <w:t xml:space="preserve"> В случа</w:t>
      </w:r>
      <w:r w:rsidR="00A66D92">
        <w:rPr>
          <w:sz w:val="24"/>
          <w:szCs w:val="24"/>
        </w:rPr>
        <w:t>й на събирателно дружество или</w:t>
      </w:r>
      <w:r w:rsidRPr="00EE3679">
        <w:rPr>
          <w:sz w:val="24"/>
          <w:szCs w:val="24"/>
        </w:rPr>
        <w:t xml:space="preserve"> командитно дружество  или други лица по Приложение II към Директива 2013/34/ЕС (което не е МСП, което съществува по-малко от три години), когато капиталът, вписан в баланса на дружеството, е намалял с повече от половината поради натрупани загуби. За целите на настоящата разпоредба под понятието „дружество, при което поне някои </w:t>
      </w:r>
      <w:proofErr w:type="spellStart"/>
      <w:r w:rsidRPr="00EE3679">
        <w:rPr>
          <w:sz w:val="24"/>
          <w:szCs w:val="24"/>
        </w:rPr>
        <w:t>съдружници</w:t>
      </w:r>
      <w:proofErr w:type="spellEnd"/>
      <w:r w:rsidRPr="00EE3679">
        <w:rPr>
          <w:sz w:val="24"/>
          <w:szCs w:val="24"/>
        </w:rPr>
        <w:t xml:space="preserve"> носят неограничена отговорност за задълженията на дружеството", се разбира по-специално типовете дружества, посочени в приложение II към Директива 2013/34/ЕС.</w:t>
      </w:r>
    </w:p>
    <w:p w:rsidR="00EE3679" w:rsidRPr="00EE3679" w:rsidRDefault="00EE3679"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E3679">
        <w:rPr>
          <w:sz w:val="24"/>
          <w:szCs w:val="24"/>
        </w:rPr>
        <w:t>3</w:t>
      </w:r>
      <w:r w:rsidR="00A66D92">
        <w:rPr>
          <w:sz w:val="24"/>
          <w:szCs w:val="24"/>
        </w:rPr>
        <w:t>.</w:t>
      </w:r>
      <w:r w:rsidRPr="00EE3679">
        <w:rPr>
          <w:sz w:val="24"/>
          <w:szCs w:val="24"/>
        </w:rPr>
        <w:t xml:space="preserve"> Когато предприятието е в процедура по колективна несъстоятелност или отговаря на критериите на своето вътрешно право, за да бъде обект на процедура по колективна несъстоятелн</w:t>
      </w:r>
      <w:r w:rsidR="00A66D92">
        <w:rPr>
          <w:sz w:val="24"/>
          <w:szCs w:val="24"/>
        </w:rPr>
        <w:t>ост по искане на неговите креди</w:t>
      </w:r>
      <w:r w:rsidRPr="00EE3679">
        <w:rPr>
          <w:sz w:val="24"/>
          <w:szCs w:val="24"/>
        </w:rPr>
        <w:t>тори.</w:t>
      </w:r>
    </w:p>
    <w:p w:rsidR="00EE3679" w:rsidRDefault="00EE3679" w:rsidP="00EE3679">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EE3679">
        <w:rPr>
          <w:sz w:val="24"/>
          <w:szCs w:val="24"/>
        </w:rPr>
        <w:t>4</w:t>
      </w:r>
      <w:r w:rsidR="00A66D92">
        <w:rPr>
          <w:sz w:val="24"/>
          <w:szCs w:val="24"/>
        </w:rPr>
        <w:t>.</w:t>
      </w:r>
      <w:r w:rsidRPr="00EE3679">
        <w:rPr>
          <w:sz w:val="24"/>
          <w:szCs w:val="24"/>
        </w:rPr>
        <w:t xml:space="preserve"> Когато предприятието е получило помощ за оздравяване и все още не е възстановило заема или не е прекратило гаранцията, или е получило помощ за преструктуриране и все още е обект на план за преструктуриране</w:t>
      </w:r>
      <w:r w:rsidR="00BB6DFE">
        <w:rPr>
          <w:sz w:val="24"/>
          <w:szCs w:val="24"/>
        </w:rPr>
        <w:t>.</w:t>
      </w:r>
    </w:p>
    <w:p w:rsidR="00256B78" w:rsidRPr="00BD3276" w:rsidRDefault="00256B78"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B63CF5" w:rsidRPr="001C39A5" w:rsidRDefault="00256B78" w:rsidP="005100F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sidRPr="00256B78">
        <w:rPr>
          <w:rFonts w:ascii="Calibri" w:eastAsia="Calibri" w:hAnsi="Calibri" w:cs="Times New Roman"/>
          <w:b/>
          <w:sz w:val="24"/>
          <w:szCs w:val="24"/>
        </w:rPr>
        <w:t>Изискванията по настоящата т. Б) се прилагат на равнище група</w:t>
      </w:r>
      <w:r w:rsidR="00990010">
        <w:rPr>
          <w:rFonts w:ascii="Calibri" w:eastAsia="Calibri" w:hAnsi="Calibri" w:cs="Times New Roman"/>
          <w:b/>
          <w:sz w:val="24"/>
          <w:szCs w:val="24"/>
        </w:rPr>
        <w:t>.</w:t>
      </w:r>
    </w:p>
    <w:p w:rsidR="00AA7187" w:rsidRPr="00BD3276" w:rsidRDefault="00AA7187"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E54947" w:rsidRDefault="00E54947" w:rsidP="005100F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p>
    <w:p w:rsidR="004138BA" w:rsidRPr="00BD3276" w:rsidRDefault="00A5682A" w:rsidP="005100F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BD3276">
        <w:rPr>
          <w:b/>
          <w:sz w:val="24"/>
          <w:szCs w:val="24"/>
        </w:rPr>
        <w:t>В</w:t>
      </w:r>
      <w:r w:rsidR="004138BA" w:rsidRPr="00BD3276">
        <w:rPr>
          <w:b/>
          <w:sz w:val="24"/>
          <w:szCs w:val="24"/>
        </w:rPr>
        <w:t>) Финансирането представлява:</w:t>
      </w:r>
    </w:p>
    <w:p w:rsidR="00AB6EC3" w:rsidRPr="00BD3276" w:rsidRDefault="00AB6EC3"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E705F4" w:rsidRPr="00BD3276">
        <w:rPr>
          <w:sz w:val="24"/>
          <w:szCs w:val="24"/>
        </w:rPr>
        <w:t xml:space="preserve">помощи </w:t>
      </w:r>
      <w:r w:rsidRPr="00BD3276">
        <w:rPr>
          <w:sz w:val="24"/>
          <w:szCs w:val="24"/>
        </w:rPr>
        <w:t>за дейности,</w:t>
      </w:r>
      <w:r w:rsidR="00E705F4" w:rsidRPr="00BD3276">
        <w:rPr>
          <w:sz w:val="24"/>
          <w:szCs w:val="24"/>
        </w:rPr>
        <w:t xml:space="preserve"> </w:t>
      </w:r>
      <w:r w:rsidRPr="00BD3276">
        <w:rPr>
          <w:sz w:val="24"/>
          <w:szCs w:val="24"/>
        </w:rPr>
        <w:t>свързани с износ към трети държави или държави членки, по-специално помощи, които са пряко свързани с изнесените количества, с изграждането и функционирането на дистрибуторска мрежа или с други тек</w:t>
      </w:r>
      <w:r w:rsidR="00F8444F" w:rsidRPr="00BD3276">
        <w:rPr>
          <w:sz w:val="24"/>
          <w:szCs w:val="24"/>
        </w:rPr>
        <w:t>ущи разходи във връзка с износа;</w:t>
      </w:r>
    </w:p>
    <w:p w:rsidR="008F68B5" w:rsidRDefault="00AB6EC3"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F8444F" w:rsidRPr="00BD3276">
        <w:rPr>
          <w:sz w:val="24"/>
          <w:szCs w:val="24"/>
        </w:rPr>
        <w:t>помощ,</w:t>
      </w:r>
      <w:r w:rsidRPr="00BD3276">
        <w:rPr>
          <w:sz w:val="24"/>
          <w:szCs w:val="24"/>
        </w:rPr>
        <w:t xml:space="preserve"> поставена в зависимост от използване на м</w:t>
      </w:r>
      <w:r w:rsidR="00F8444F" w:rsidRPr="00BD3276">
        <w:rPr>
          <w:sz w:val="24"/>
          <w:szCs w:val="24"/>
        </w:rPr>
        <w:t>естни за сметка на вносни стоки;</w:t>
      </w:r>
    </w:p>
    <w:p w:rsidR="008F68B5" w:rsidRPr="00BD3276" w:rsidRDefault="008F68B5"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lastRenderedPageBreak/>
        <w:t>•</w:t>
      </w:r>
      <w:r>
        <w:rPr>
          <w:sz w:val="24"/>
          <w:szCs w:val="24"/>
        </w:rPr>
        <w:t xml:space="preserve"> </w:t>
      </w:r>
      <w:r w:rsidRPr="008F68B5">
        <w:rPr>
          <w:sz w:val="24"/>
          <w:szCs w:val="24"/>
        </w:rPr>
        <w:t>помощ, която ще се използва за придобиването на товарни автомобили за сухопътен транспорт</w:t>
      </w:r>
      <w:r w:rsidR="00BB6DFE">
        <w:rPr>
          <w:sz w:val="24"/>
          <w:szCs w:val="24"/>
        </w:rPr>
        <w:t>;</w:t>
      </w:r>
    </w:p>
    <w:p w:rsidR="001209AF" w:rsidRPr="00BD3276" w:rsidRDefault="001209AF" w:rsidP="005100FE">
      <w:pPr>
        <w:pBdr>
          <w:top w:val="single" w:sz="4" w:space="1" w:color="auto"/>
          <w:left w:val="single" w:sz="4" w:space="4" w:color="auto"/>
          <w:bottom w:val="single" w:sz="4" w:space="1" w:color="auto"/>
          <w:right w:val="single" w:sz="4" w:space="4" w:color="auto"/>
        </w:pBdr>
        <w:spacing w:after="0" w:line="240" w:lineRule="auto"/>
        <w:jc w:val="both"/>
      </w:pPr>
      <w:r w:rsidRPr="00BD3276">
        <w:rPr>
          <w:sz w:val="24"/>
          <w:szCs w:val="24"/>
        </w:rPr>
        <w:t>• помощи за улесняване на закриването на неконкурентоспособни въглищни мини в съответствие с Решение 2010/787/ЕС на Съвета</w:t>
      </w:r>
      <w:r w:rsidR="00BB6DFE">
        <w:rPr>
          <w:sz w:val="24"/>
          <w:szCs w:val="24"/>
        </w:rPr>
        <w:t>.</w:t>
      </w:r>
      <w:r w:rsidRPr="00BD3276">
        <w:t xml:space="preserve"> </w:t>
      </w:r>
    </w:p>
    <w:p w:rsidR="00342EA5" w:rsidRPr="00BD3276" w:rsidRDefault="00342EA5" w:rsidP="00F9510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p>
    <w:p w:rsidR="001E3A7B" w:rsidRPr="00BD3276" w:rsidRDefault="006D0786" w:rsidP="005100F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Pr>
          <w:b/>
          <w:sz w:val="24"/>
          <w:szCs w:val="24"/>
        </w:rPr>
        <w:t>3)</w:t>
      </w:r>
      <w:r w:rsidR="006072DE">
        <w:rPr>
          <w:sz w:val="24"/>
          <w:szCs w:val="24"/>
        </w:rPr>
        <w:t xml:space="preserve"> </w:t>
      </w:r>
      <w:r w:rsidR="000C5CA3" w:rsidRPr="00BD3276">
        <w:rPr>
          <w:sz w:val="24"/>
          <w:szCs w:val="24"/>
        </w:rPr>
        <w:t xml:space="preserve">С оглед </w:t>
      </w:r>
      <w:r w:rsidR="000C5CA3" w:rsidRPr="00BD3276">
        <w:rPr>
          <w:b/>
          <w:sz w:val="24"/>
          <w:szCs w:val="24"/>
        </w:rPr>
        <w:t xml:space="preserve">избягване на припокриването на интервенциите </w:t>
      </w:r>
      <w:r w:rsidR="000C5CA3" w:rsidRPr="00BD3276">
        <w:rPr>
          <w:sz w:val="24"/>
          <w:szCs w:val="24"/>
        </w:rPr>
        <w:t xml:space="preserve">между Оперативна програма „Иновации и конкурентоспособност” 2014-2020 и Програмата за развитие на селските райони 2014-2020, подкрепа по настоящата процедура за подбор на проекти </w:t>
      </w:r>
      <w:r w:rsidR="000C5CA3" w:rsidRPr="00BD3276">
        <w:rPr>
          <w:b/>
          <w:sz w:val="24"/>
          <w:szCs w:val="24"/>
        </w:rPr>
        <w:t>не могат да получават:</w:t>
      </w:r>
    </w:p>
    <w:p w:rsidR="00F5141C" w:rsidRPr="00BD3276" w:rsidRDefault="00F5141C"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1E3A7B" w:rsidRPr="00BD3276" w:rsidRDefault="006F3E7E" w:rsidP="005100F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BD3276">
        <w:rPr>
          <w:sz w:val="24"/>
          <w:szCs w:val="24"/>
        </w:rPr>
        <w:t xml:space="preserve">• </w:t>
      </w:r>
      <w:proofErr w:type="spellStart"/>
      <w:r w:rsidR="00536109" w:rsidRPr="00BD3276">
        <w:rPr>
          <w:rFonts w:ascii="Calibri" w:eastAsia="Calibri" w:hAnsi="Calibri" w:cs="Times New Roman"/>
          <w:sz w:val="24"/>
          <w:szCs w:val="24"/>
        </w:rPr>
        <w:t>микропредприятия</w:t>
      </w:r>
      <w:proofErr w:type="spellEnd"/>
      <w:r w:rsidR="00536109" w:rsidRPr="00BD3276">
        <w:rPr>
          <w:rFonts w:ascii="Calibri" w:eastAsia="Calibri" w:hAnsi="Calibri" w:cs="Times New Roman"/>
          <w:sz w:val="24"/>
          <w:szCs w:val="24"/>
        </w:rPr>
        <w:t xml:space="preserve"> по смисъла на чл. 3-4 от Закона за малките и средните предприятия, които имат седалище или клон със седалище на територията на община, посочена в Приложение № </w:t>
      </w:r>
      <w:r w:rsidR="002F633C" w:rsidRPr="00BD3276">
        <w:rPr>
          <w:rFonts w:ascii="Calibri" w:eastAsia="Calibri" w:hAnsi="Calibri" w:cs="Times New Roman"/>
          <w:sz w:val="24"/>
          <w:szCs w:val="24"/>
        </w:rPr>
        <w:t xml:space="preserve">4 </w:t>
      </w:r>
      <w:r w:rsidR="00536109" w:rsidRPr="00BD3276">
        <w:rPr>
          <w:rFonts w:ascii="Calibri" w:eastAsia="Calibri" w:hAnsi="Calibri" w:cs="Times New Roman"/>
          <w:sz w:val="24"/>
          <w:szCs w:val="24"/>
        </w:rPr>
        <w:t xml:space="preserve">към </w:t>
      </w:r>
      <w:r w:rsidR="002F633C" w:rsidRPr="00BD3276">
        <w:rPr>
          <w:rFonts w:ascii="Calibri" w:eastAsia="Calibri" w:hAnsi="Calibri" w:cs="Times New Roman"/>
          <w:sz w:val="24"/>
          <w:szCs w:val="24"/>
        </w:rPr>
        <w:t xml:space="preserve">Наредба № 9 от 21 март 2015 г. за прилагане на </w:t>
      </w:r>
      <w:proofErr w:type="spellStart"/>
      <w:r w:rsidR="002F633C" w:rsidRPr="00BD3276">
        <w:rPr>
          <w:rFonts w:ascii="Calibri" w:eastAsia="Calibri" w:hAnsi="Calibri" w:cs="Times New Roman"/>
          <w:sz w:val="24"/>
          <w:szCs w:val="24"/>
        </w:rPr>
        <w:t>подмярка</w:t>
      </w:r>
      <w:proofErr w:type="spellEnd"/>
      <w:r w:rsidR="002F633C" w:rsidRPr="00BD3276">
        <w:rPr>
          <w:rFonts w:ascii="Calibri" w:eastAsia="Calibri" w:hAnsi="Calibri" w:cs="Times New Roman"/>
          <w:sz w:val="24"/>
          <w:szCs w:val="24"/>
        </w:rPr>
        <w:t xml:space="preserve"> 4.1 „Инвестиции в земеделски стопанства“ от мярка 4 „Инвестиции в материални активи“ от Програмата за развитие на селските райони за периода 2014 – 2020 г.</w:t>
      </w:r>
      <w:r w:rsidR="00536109" w:rsidRPr="00BD3276">
        <w:rPr>
          <w:rFonts w:ascii="Calibri" w:eastAsia="Calibri" w:hAnsi="Calibri" w:cs="Times New Roman"/>
          <w:sz w:val="24"/>
          <w:szCs w:val="24"/>
        </w:rPr>
        <w:t xml:space="preserve"> </w:t>
      </w:r>
      <w:r w:rsidR="00536109" w:rsidRPr="00BD3276">
        <w:rPr>
          <w:rFonts w:ascii="Calibri" w:eastAsia="Calibri" w:hAnsi="Calibri" w:cs="Times New Roman"/>
          <w:b/>
          <w:sz w:val="24"/>
          <w:szCs w:val="24"/>
        </w:rPr>
        <w:t>и</w:t>
      </w:r>
      <w:r w:rsidR="00536109" w:rsidRPr="00BD3276">
        <w:rPr>
          <w:rFonts w:ascii="Calibri" w:eastAsia="Calibri" w:hAnsi="Calibri" w:cs="Times New Roman"/>
          <w:sz w:val="24"/>
          <w:szCs w:val="24"/>
        </w:rPr>
        <w:t xml:space="preserve"> са заявили за подпомагане дейности по проекта, които ще се осъществяват в община на територията на селските райони в Република България -  Приложение № </w:t>
      </w:r>
      <w:r w:rsidR="002F633C" w:rsidRPr="00BD3276">
        <w:rPr>
          <w:rFonts w:ascii="Calibri" w:eastAsia="Calibri" w:hAnsi="Calibri" w:cs="Times New Roman"/>
          <w:sz w:val="24"/>
          <w:szCs w:val="24"/>
        </w:rPr>
        <w:t xml:space="preserve">4 </w:t>
      </w:r>
      <w:r w:rsidR="00536109" w:rsidRPr="00BD3276">
        <w:rPr>
          <w:rFonts w:ascii="Calibri" w:eastAsia="Calibri" w:hAnsi="Calibri" w:cs="Times New Roman"/>
          <w:sz w:val="24"/>
          <w:szCs w:val="24"/>
        </w:rPr>
        <w:t>към Наред</w:t>
      </w:r>
      <w:r w:rsidR="00605C77" w:rsidRPr="00BD3276">
        <w:rPr>
          <w:rFonts w:ascii="Calibri" w:eastAsia="Calibri" w:hAnsi="Calibri" w:cs="Times New Roman"/>
          <w:sz w:val="24"/>
          <w:szCs w:val="24"/>
        </w:rPr>
        <w:t>ба № 9/20</w:t>
      </w:r>
      <w:r w:rsidR="002F633C" w:rsidRPr="00BD3276">
        <w:rPr>
          <w:rFonts w:ascii="Calibri" w:eastAsia="Calibri" w:hAnsi="Calibri" w:cs="Times New Roman"/>
          <w:sz w:val="24"/>
          <w:szCs w:val="24"/>
        </w:rPr>
        <w:t>15</w:t>
      </w:r>
      <w:r w:rsidR="00605C77" w:rsidRPr="00BD3276">
        <w:rPr>
          <w:rFonts w:ascii="Calibri" w:eastAsia="Calibri" w:hAnsi="Calibri" w:cs="Times New Roman"/>
          <w:sz w:val="24"/>
          <w:szCs w:val="24"/>
        </w:rPr>
        <w:t xml:space="preserve"> г. </w:t>
      </w:r>
      <w:r w:rsidR="00605C77" w:rsidRPr="00F710BF">
        <w:rPr>
          <w:rFonts w:ascii="Calibri" w:eastAsia="Calibri" w:hAnsi="Calibri" w:cs="Times New Roman"/>
          <w:sz w:val="24"/>
          <w:szCs w:val="24"/>
        </w:rPr>
        <w:t xml:space="preserve">(Приложение </w:t>
      </w:r>
      <w:r w:rsidR="00F710BF" w:rsidRPr="00F710BF">
        <w:rPr>
          <w:rFonts w:ascii="Calibri" w:eastAsia="Calibri" w:hAnsi="Calibri" w:cs="Times New Roman"/>
          <w:sz w:val="24"/>
          <w:szCs w:val="24"/>
        </w:rPr>
        <w:t>Т</w:t>
      </w:r>
      <w:r w:rsidR="00536109" w:rsidRPr="00F710BF">
        <w:rPr>
          <w:rFonts w:ascii="Calibri" w:eastAsia="Calibri" w:hAnsi="Calibri" w:cs="Times New Roman"/>
          <w:sz w:val="24"/>
          <w:szCs w:val="24"/>
        </w:rPr>
        <w:t>).</w:t>
      </w:r>
    </w:p>
    <w:p w:rsidR="00F5141C" w:rsidRPr="00BD3276" w:rsidRDefault="00F5141C"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1E3A7B" w:rsidRPr="00BD3276" w:rsidRDefault="006F3E7E"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D93B60" w:rsidRPr="00BD3276">
        <w:rPr>
          <w:sz w:val="24"/>
          <w:szCs w:val="24"/>
        </w:rPr>
        <w:t>предприятия, извършващи основната си икономическа дейност или кандидатстващи за финансиране на дейности</w:t>
      </w:r>
      <w:r w:rsidR="00D93B60" w:rsidRPr="00BD3276" w:rsidDel="00E90758">
        <w:rPr>
          <w:sz w:val="24"/>
          <w:szCs w:val="24"/>
        </w:rPr>
        <w:t xml:space="preserve"> </w:t>
      </w:r>
      <w:r w:rsidR="001E3A7B" w:rsidRPr="00BD3276">
        <w:rPr>
          <w:sz w:val="24"/>
          <w:szCs w:val="24"/>
        </w:rPr>
        <w:t>за преработка и/или маркетинг на горски продукти.</w:t>
      </w:r>
    </w:p>
    <w:p w:rsidR="00F5141C" w:rsidRPr="00BD3276" w:rsidRDefault="00F5141C"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1E3A7B" w:rsidRPr="00BD3276" w:rsidRDefault="006F3E7E"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п</w:t>
      </w:r>
      <w:r w:rsidR="001E3A7B" w:rsidRPr="00BD3276">
        <w:rPr>
          <w:sz w:val="24"/>
          <w:szCs w:val="24"/>
        </w:rPr>
        <w:t>редприятия, извършващи основната си икономическа дейност или кандидатстващи за финансиране на дейности, които</w:t>
      </w:r>
      <w:r w:rsidRPr="00BD3276">
        <w:rPr>
          <w:sz w:val="24"/>
          <w:szCs w:val="24"/>
        </w:rPr>
        <w:t xml:space="preserve"> съгласно КИД 2008 (</w:t>
      </w:r>
      <w:r w:rsidRPr="00B4685D">
        <w:rPr>
          <w:sz w:val="24"/>
          <w:szCs w:val="24"/>
        </w:rPr>
        <w:t xml:space="preserve">Приложение </w:t>
      </w:r>
      <w:r w:rsidR="00B4685D" w:rsidRPr="00B4685D">
        <w:rPr>
          <w:sz w:val="24"/>
          <w:szCs w:val="24"/>
        </w:rPr>
        <w:t>У</w:t>
      </w:r>
      <w:r w:rsidR="001E3A7B" w:rsidRPr="00BD3276">
        <w:rPr>
          <w:sz w:val="24"/>
          <w:szCs w:val="24"/>
        </w:rPr>
        <w:t xml:space="preserve"> към Насоките за кандидатстване) попадат в Сектор С - код на икономическа дейност 10 „Производство на хранителни продукти” и код 11 „Производство на напитки”: </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10.1 „Производство и преработка на месо; производство на месни продукти, без готови ястия”;</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10.2. „Преработка и консервиране на риба и други водни животни, без готови ястия”;</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10.3 „Преработка и консервиране на плодове и зеленчуци, без готови ястия”;</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10.4. „Производство на растителни и животински масла и мазнини”;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10.5. „Производство на мляко и млечни продукти”;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10.6. „Производство на мелничарски продукти, нишесте и нишестени продукти”;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10.81. „Производство на захар”;</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10.83. „Преработка на кафе и чай”;</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10.9. „Производство на готови храни за животни”;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11.01. „Производство на спиртни напитки”;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11.02. „Производство на вина от грозде”;</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11.03. „Производство на други ферментирали напитки”;</w:t>
      </w:r>
    </w:p>
    <w:p w:rsidR="001E3A7B"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11.04. „Производство на други недестилирани алкохолни напитки”;</w:t>
      </w:r>
    </w:p>
    <w:p w:rsidR="008F68B5" w:rsidRPr="00BD3276" w:rsidRDefault="00CB717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1E3A7B" w:rsidRPr="00BD3276">
        <w:rPr>
          <w:sz w:val="24"/>
          <w:szCs w:val="24"/>
        </w:rPr>
        <w:t xml:space="preserve">11.06. „Производство на </w:t>
      </w:r>
      <w:proofErr w:type="spellStart"/>
      <w:r w:rsidR="001E3A7B" w:rsidRPr="00BD3276">
        <w:rPr>
          <w:sz w:val="24"/>
          <w:szCs w:val="24"/>
        </w:rPr>
        <w:t>малц</w:t>
      </w:r>
      <w:proofErr w:type="spellEnd"/>
      <w:r w:rsidR="001E3A7B" w:rsidRPr="00BD3276">
        <w:rPr>
          <w:sz w:val="24"/>
          <w:szCs w:val="24"/>
        </w:rPr>
        <w:t>”.</w:t>
      </w:r>
    </w:p>
    <w:p w:rsidR="002325A3" w:rsidRPr="00BD3276" w:rsidRDefault="002325A3" w:rsidP="002325A3">
      <w:pPr>
        <w:pStyle w:val="ListParagraph"/>
        <w:spacing w:after="360" w:line="240" w:lineRule="auto"/>
        <w:ind w:left="0"/>
        <w:jc w:val="both"/>
        <w:rPr>
          <w:b/>
          <w:sz w:val="24"/>
          <w:szCs w:val="24"/>
        </w:rPr>
      </w:pPr>
      <w:r w:rsidRPr="00BD3276">
        <w:rPr>
          <w:b/>
          <w:sz w:val="24"/>
          <w:szCs w:val="24"/>
        </w:rPr>
        <w:t xml:space="preserve">   </w:t>
      </w:r>
    </w:p>
    <w:p w:rsidR="002325A3" w:rsidRPr="00BD3276" w:rsidRDefault="00CB14EE" w:rsidP="00DC14A3">
      <w:pPr>
        <w:pStyle w:val="Heading2"/>
        <w:spacing w:before="0" w:after="120"/>
      </w:pPr>
      <w:bookmarkStart w:id="15" w:name="_Toc418791446"/>
      <w:r w:rsidRPr="00BD3276">
        <w:lastRenderedPageBreak/>
        <w:t>1</w:t>
      </w:r>
      <w:r w:rsidR="004A58E5" w:rsidRPr="00BD3276">
        <w:t>2</w:t>
      </w:r>
      <w:r w:rsidR="002325A3" w:rsidRPr="00BD3276">
        <w:t>. Допустими партньори:</w:t>
      </w:r>
      <w:bookmarkEnd w:id="15"/>
    </w:p>
    <w:p w:rsidR="005B24FF" w:rsidRPr="00BD3276" w:rsidRDefault="00C76CE0"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Verdana" w:hAnsi="Verdana"/>
          <w:b/>
        </w:rPr>
      </w:pPr>
      <w:r w:rsidRPr="00BD3276">
        <w:rPr>
          <w:sz w:val="24"/>
          <w:szCs w:val="24"/>
        </w:rPr>
        <w:t>По настоящата процедура за подбор на проекти кандидатите участват индивидуално, а не съвместно с партньорски или други организации.</w:t>
      </w:r>
    </w:p>
    <w:p w:rsidR="002325A3" w:rsidRPr="00BD3276" w:rsidRDefault="002325A3" w:rsidP="002325A3">
      <w:pPr>
        <w:pStyle w:val="ListParagraph"/>
        <w:spacing w:after="360" w:line="240" w:lineRule="auto"/>
        <w:ind w:left="0"/>
        <w:jc w:val="both"/>
        <w:rPr>
          <w:rFonts w:ascii="Verdana" w:hAnsi="Verdana"/>
          <w:b/>
        </w:rPr>
      </w:pPr>
      <w:r w:rsidRPr="00BD3276">
        <w:rPr>
          <w:rFonts w:ascii="Verdana" w:hAnsi="Verdana"/>
          <w:b/>
        </w:rPr>
        <w:t xml:space="preserve">   </w:t>
      </w:r>
    </w:p>
    <w:p w:rsidR="002325A3" w:rsidRPr="0054518B" w:rsidRDefault="00CB14EE" w:rsidP="00DC14A3">
      <w:pPr>
        <w:pStyle w:val="Heading2"/>
        <w:spacing w:before="0" w:after="120"/>
      </w:pPr>
      <w:bookmarkStart w:id="16" w:name="_Toc418791447"/>
      <w:r w:rsidRPr="0054518B">
        <w:t>1</w:t>
      </w:r>
      <w:r w:rsidR="004A58E5" w:rsidRPr="0054518B">
        <w:t>3</w:t>
      </w:r>
      <w:r w:rsidR="002325A3" w:rsidRPr="0054518B">
        <w:t xml:space="preserve">. </w:t>
      </w:r>
      <w:r w:rsidR="004E6370" w:rsidRPr="0054518B">
        <w:t>Д</w:t>
      </w:r>
      <w:r w:rsidR="002325A3" w:rsidRPr="0054518B">
        <w:t>ейности, допустими за финансиране:</w:t>
      </w:r>
      <w:bookmarkEnd w:id="16"/>
    </w:p>
    <w:p w:rsidR="00EE49C8" w:rsidRPr="00BD3276" w:rsidRDefault="00EE49C8" w:rsidP="00DC14A3">
      <w:pPr>
        <w:pStyle w:val="Heading3"/>
        <w:spacing w:before="0" w:after="120"/>
        <w:rPr>
          <w:sz w:val="24"/>
          <w:szCs w:val="24"/>
        </w:rPr>
      </w:pPr>
      <w:bookmarkStart w:id="17" w:name="_Toc418791448"/>
      <w:r w:rsidRPr="0054518B">
        <w:rPr>
          <w:sz w:val="24"/>
          <w:szCs w:val="24"/>
        </w:rPr>
        <w:t>13.1. Допустими дейности</w:t>
      </w:r>
      <w:bookmarkEnd w:id="17"/>
    </w:p>
    <w:p w:rsidR="00AC4EEA" w:rsidRDefault="004D7C1E" w:rsidP="00DC14A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sz w:val="24"/>
          <w:szCs w:val="24"/>
        </w:rPr>
        <w:t xml:space="preserve">Проектните предложения по настоящата процедура следва да съответстват на принципа на </w:t>
      </w:r>
      <w:r w:rsidR="00AF2C6B" w:rsidRPr="00BD3276">
        <w:rPr>
          <w:sz w:val="24"/>
          <w:szCs w:val="24"/>
        </w:rPr>
        <w:t xml:space="preserve">ефективност и ефикасност, като допустимите дейности следва да съответстват на </w:t>
      </w:r>
      <w:r w:rsidR="00AC4EEA" w:rsidRPr="00BD3276">
        <w:rPr>
          <w:sz w:val="24"/>
          <w:szCs w:val="24"/>
        </w:rPr>
        <w:t xml:space="preserve">целите на оперативната програма и </w:t>
      </w:r>
      <w:r w:rsidR="00AF2C6B" w:rsidRPr="00BD3276">
        <w:rPr>
          <w:sz w:val="24"/>
          <w:szCs w:val="24"/>
        </w:rPr>
        <w:t>да водят до постигане</w:t>
      </w:r>
      <w:r w:rsidR="00AC4EEA" w:rsidRPr="00BD3276">
        <w:rPr>
          <w:sz w:val="24"/>
          <w:szCs w:val="24"/>
        </w:rPr>
        <w:t xml:space="preserve"> на специфичната цел и резулт</w:t>
      </w:r>
      <w:r w:rsidR="00BE603D">
        <w:rPr>
          <w:sz w:val="24"/>
          <w:szCs w:val="24"/>
        </w:rPr>
        <w:t>ати на Инвестиционен приоритет 1.1 „Технологично развитие и иновации</w:t>
      </w:r>
      <w:r w:rsidR="00F92055" w:rsidRPr="00BD3276">
        <w:rPr>
          <w:sz w:val="24"/>
          <w:szCs w:val="24"/>
        </w:rPr>
        <w:t>“</w:t>
      </w:r>
      <w:r w:rsidR="00BE603D">
        <w:rPr>
          <w:sz w:val="24"/>
          <w:szCs w:val="24"/>
        </w:rPr>
        <w:t xml:space="preserve"> от Приоритетна ос 1</w:t>
      </w:r>
      <w:r w:rsidR="00AC4EEA" w:rsidRPr="00BD3276">
        <w:rPr>
          <w:sz w:val="24"/>
          <w:szCs w:val="24"/>
        </w:rPr>
        <w:t xml:space="preserve"> на ОПИК, при най-адекватното съотношение м</w:t>
      </w:r>
      <w:r w:rsidR="00AF2C6B" w:rsidRPr="00BD3276">
        <w:rPr>
          <w:sz w:val="24"/>
          <w:szCs w:val="24"/>
        </w:rPr>
        <w:t>ежду очакваните разходи и ползи.</w:t>
      </w:r>
    </w:p>
    <w:p w:rsidR="00261CEE" w:rsidRPr="00BD3276" w:rsidRDefault="00261CEE" w:rsidP="00DC14A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rsidR="004966C6" w:rsidRDefault="003F3C1B"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b/>
          <w:sz w:val="24"/>
          <w:szCs w:val="24"/>
        </w:rPr>
      </w:pPr>
      <w:r>
        <w:rPr>
          <w:b/>
          <w:sz w:val="24"/>
          <w:szCs w:val="24"/>
          <w:lang w:val="en-US"/>
        </w:rPr>
        <w:t xml:space="preserve">I. </w:t>
      </w:r>
      <w:r w:rsidR="00261CEE" w:rsidRPr="00261CEE">
        <w:rPr>
          <w:b/>
          <w:sz w:val="24"/>
          <w:szCs w:val="24"/>
        </w:rPr>
        <w:t>Допустими проекти:</w:t>
      </w:r>
    </w:p>
    <w:p w:rsidR="002F1FD6" w:rsidRDefault="002F1FD6"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sz w:val="24"/>
          <w:szCs w:val="24"/>
        </w:rPr>
      </w:pPr>
    </w:p>
    <w:p w:rsidR="006D3B98" w:rsidRDefault="002F1FD6" w:rsidP="006D3B98">
      <w:pPr>
        <w:pBdr>
          <w:top w:val="single" w:sz="4" w:space="1" w:color="auto"/>
          <w:left w:val="single" w:sz="4" w:space="4" w:color="auto"/>
          <w:bottom w:val="single" w:sz="4" w:space="1" w:color="auto"/>
          <w:right w:val="single" w:sz="4" w:space="4" w:color="auto"/>
        </w:pBdr>
        <w:spacing w:before="240" w:after="120" w:line="240" w:lineRule="auto"/>
        <w:jc w:val="both"/>
        <w:rPr>
          <w:sz w:val="24"/>
          <w:szCs w:val="24"/>
        </w:rPr>
      </w:pPr>
      <w:r w:rsidRPr="006D3B98">
        <w:rPr>
          <w:b/>
          <w:sz w:val="24"/>
          <w:szCs w:val="24"/>
        </w:rPr>
        <w:t>1)</w:t>
      </w:r>
      <w:r w:rsidRPr="006D3B98">
        <w:rPr>
          <w:sz w:val="24"/>
          <w:szCs w:val="24"/>
        </w:rPr>
        <w:t xml:space="preserve"> </w:t>
      </w:r>
      <w:r w:rsidR="00BA4E77" w:rsidRPr="006D3B98">
        <w:rPr>
          <w:sz w:val="24"/>
          <w:szCs w:val="24"/>
        </w:rPr>
        <w:t>Изпълнението на проекта следва да води до пазарна реализация на продукт (стока или услуга) или процес, попадащи  в обхвата на изброените по-долу приоритетни направления на тематичните области</w:t>
      </w:r>
      <w:r w:rsidR="00807FA8" w:rsidRPr="006D3B98">
        <w:rPr>
          <w:sz w:val="24"/>
          <w:szCs w:val="24"/>
        </w:rPr>
        <w:t xml:space="preserve"> </w:t>
      </w:r>
      <w:r w:rsidR="00A052BD" w:rsidRPr="006D3B98">
        <w:rPr>
          <w:sz w:val="24"/>
          <w:szCs w:val="24"/>
        </w:rPr>
        <w:t>на</w:t>
      </w:r>
      <w:r w:rsidR="00807FA8" w:rsidRPr="006D3B98">
        <w:rPr>
          <w:sz w:val="24"/>
          <w:szCs w:val="24"/>
        </w:rPr>
        <w:t xml:space="preserve"> Иновационната стратегия за интелигента </w:t>
      </w:r>
      <w:r w:rsidR="00E32F84" w:rsidRPr="006D3B98">
        <w:rPr>
          <w:sz w:val="24"/>
          <w:szCs w:val="24"/>
        </w:rPr>
        <w:t>специализация</w:t>
      </w:r>
      <w:r w:rsidR="00A052BD" w:rsidRPr="006D3B98">
        <w:rPr>
          <w:sz w:val="24"/>
          <w:szCs w:val="24"/>
        </w:rPr>
        <w:t>:</w:t>
      </w:r>
    </w:p>
    <w:p w:rsidR="0003305B" w:rsidRPr="006D3B98" w:rsidRDefault="006D3B98" w:rsidP="006D3B98">
      <w:pPr>
        <w:pBdr>
          <w:top w:val="single" w:sz="4" w:space="1" w:color="auto"/>
          <w:left w:val="single" w:sz="4" w:space="4" w:color="auto"/>
          <w:bottom w:val="single" w:sz="4" w:space="1" w:color="auto"/>
          <w:right w:val="single" w:sz="4" w:space="4" w:color="auto"/>
        </w:pBdr>
        <w:spacing w:before="240" w:after="120" w:line="240" w:lineRule="auto"/>
        <w:jc w:val="both"/>
        <w:rPr>
          <w:b/>
          <w:sz w:val="24"/>
          <w:szCs w:val="24"/>
        </w:rPr>
      </w:pPr>
      <w:r>
        <w:rPr>
          <w:sz w:val="24"/>
          <w:szCs w:val="24"/>
        </w:rPr>
        <w:t xml:space="preserve">•    </w:t>
      </w:r>
      <w:r w:rsidR="0003305B" w:rsidRPr="006D3B98">
        <w:rPr>
          <w:b/>
          <w:sz w:val="24"/>
          <w:szCs w:val="24"/>
        </w:rPr>
        <w:t>ИКТ и информатика</w:t>
      </w:r>
      <w:r w:rsidR="0003305B" w:rsidRPr="006D3B98">
        <w:rPr>
          <w:b/>
          <w:sz w:val="24"/>
          <w:szCs w:val="24"/>
          <w:lang w:val="en-US"/>
        </w:rPr>
        <w:t>:</w:t>
      </w:r>
      <w:r w:rsidR="0003305B" w:rsidRPr="006D3B98">
        <w:rPr>
          <w:b/>
          <w:sz w:val="24"/>
          <w:szCs w:val="24"/>
        </w:rPr>
        <w:t xml:space="preserve"> </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производства, особено </w:t>
      </w:r>
      <w:proofErr w:type="spellStart"/>
      <w:r w:rsidRPr="0003305B">
        <w:rPr>
          <w:sz w:val="24"/>
          <w:szCs w:val="24"/>
        </w:rPr>
        <w:t>Fabless</w:t>
      </w:r>
      <w:proofErr w:type="spellEnd"/>
      <w:r w:rsidRPr="0003305B">
        <w:rPr>
          <w:sz w:val="24"/>
          <w:szCs w:val="24"/>
        </w:rPr>
        <w:t xml:space="preserve"> и нови подходи за дизайн и/или асемблиране;</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3D дигитализация, визуализация и </w:t>
      </w:r>
      <w:proofErr w:type="spellStart"/>
      <w:r w:rsidRPr="0003305B">
        <w:rPr>
          <w:sz w:val="24"/>
          <w:szCs w:val="24"/>
        </w:rPr>
        <w:t>прототипиране</w:t>
      </w:r>
      <w:proofErr w:type="spellEnd"/>
      <w:r w:rsidRPr="0003305B">
        <w:rPr>
          <w:sz w:val="24"/>
          <w:szCs w:val="24"/>
        </w:rPr>
        <w:t>;</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Big Data, </w:t>
      </w:r>
      <w:proofErr w:type="spellStart"/>
      <w:r w:rsidRPr="0003305B">
        <w:rPr>
          <w:sz w:val="24"/>
          <w:szCs w:val="24"/>
        </w:rPr>
        <w:t>Grid</w:t>
      </w:r>
      <w:proofErr w:type="spellEnd"/>
      <w:r w:rsidRPr="0003305B">
        <w:rPr>
          <w:sz w:val="24"/>
          <w:szCs w:val="24"/>
        </w:rPr>
        <w:t xml:space="preserve"> </w:t>
      </w:r>
      <w:proofErr w:type="spellStart"/>
      <w:r w:rsidRPr="0003305B">
        <w:rPr>
          <w:sz w:val="24"/>
          <w:szCs w:val="24"/>
        </w:rPr>
        <w:t>and</w:t>
      </w:r>
      <w:proofErr w:type="spellEnd"/>
      <w:r w:rsidRPr="0003305B">
        <w:rPr>
          <w:sz w:val="24"/>
          <w:szCs w:val="24"/>
        </w:rPr>
        <w:t xml:space="preserve"> </w:t>
      </w:r>
      <w:proofErr w:type="spellStart"/>
      <w:r w:rsidRPr="0003305B">
        <w:rPr>
          <w:sz w:val="24"/>
          <w:szCs w:val="24"/>
        </w:rPr>
        <w:t>Cloud</w:t>
      </w:r>
      <w:proofErr w:type="spellEnd"/>
      <w:r w:rsidRPr="0003305B">
        <w:rPr>
          <w:sz w:val="24"/>
          <w:szCs w:val="24"/>
        </w:rPr>
        <w:t xml:space="preserve"> Technologies;</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безжични сензорни мрежи и безжична комуникация/управление;</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езикови технологии;</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уеб, хибридни и "</w:t>
      </w:r>
      <w:proofErr w:type="spellStart"/>
      <w:r w:rsidRPr="0003305B">
        <w:rPr>
          <w:sz w:val="24"/>
          <w:szCs w:val="24"/>
        </w:rPr>
        <w:t>native</w:t>
      </w:r>
      <w:proofErr w:type="spellEnd"/>
      <w:r w:rsidRPr="0003305B">
        <w:rPr>
          <w:sz w:val="24"/>
          <w:szCs w:val="24"/>
        </w:rPr>
        <w:t>" приложения, уеб базирани приложения за създаване и експлоатиране на нови услуги и продукти;</w:t>
      </w:r>
    </w:p>
    <w:p w:rsidR="0003305B" w:rsidRPr="0003305B" w:rsidRDefault="0003305B"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използване на нови възможности във връзка с </w:t>
      </w:r>
      <w:proofErr w:type="spellStart"/>
      <w:r w:rsidRPr="0003305B">
        <w:rPr>
          <w:sz w:val="24"/>
          <w:szCs w:val="24"/>
        </w:rPr>
        <w:t>аутсорсинг</w:t>
      </w:r>
      <w:proofErr w:type="spellEnd"/>
      <w:r w:rsidRPr="0003305B">
        <w:rPr>
          <w:sz w:val="24"/>
          <w:szCs w:val="24"/>
        </w:rPr>
        <w:t xml:space="preserve"> и ИКТ-базирани услуги и системи</w:t>
      </w:r>
      <w:r w:rsidRPr="0003305B">
        <w:rPr>
          <w:sz w:val="24"/>
          <w:szCs w:val="24"/>
          <w:lang w:val="en-US"/>
        </w:rPr>
        <w:t>.</w:t>
      </w:r>
    </w:p>
    <w:p w:rsidR="004773FF" w:rsidRPr="004773FF" w:rsidRDefault="00DB3157" w:rsidP="00DB3157">
      <w:pPr>
        <w:pBdr>
          <w:top w:val="single" w:sz="4" w:space="1" w:color="auto"/>
          <w:left w:val="single" w:sz="4" w:space="4" w:color="auto"/>
          <w:bottom w:val="single" w:sz="4" w:space="1" w:color="auto"/>
          <w:right w:val="single" w:sz="4" w:space="4" w:color="auto"/>
        </w:pBdr>
        <w:spacing w:before="240" w:after="120" w:line="240" w:lineRule="auto"/>
        <w:jc w:val="both"/>
        <w:rPr>
          <w:sz w:val="24"/>
          <w:szCs w:val="24"/>
        </w:rPr>
      </w:pPr>
      <w:r>
        <w:rPr>
          <w:sz w:val="24"/>
          <w:szCs w:val="24"/>
        </w:rPr>
        <w:t xml:space="preserve">•    </w:t>
      </w:r>
      <w:r w:rsidR="004773FF" w:rsidRPr="00DB3157">
        <w:rPr>
          <w:b/>
          <w:sz w:val="24"/>
          <w:szCs w:val="24"/>
        </w:rPr>
        <w:t>мехатроника и чисти технологии:</w:t>
      </w:r>
      <w:r w:rsidR="004773FF" w:rsidRPr="004773FF">
        <w:rPr>
          <w:sz w:val="24"/>
          <w:szCs w:val="24"/>
        </w:rPr>
        <w:t xml:space="preserve"> </w:t>
      </w:r>
    </w:p>
    <w:p w:rsidR="004773FF" w:rsidRPr="004773FF"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производство на базови елементи, детайли, възли и оборудване, вграждани като част от </w:t>
      </w:r>
      <w:proofErr w:type="spellStart"/>
      <w:r w:rsidRPr="004773FF">
        <w:rPr>
          <w:sz w:val="24"/>
          <w:szCs w:val="24"/>
        </w:rPr>
        <w:t>мехатронен</w:t>
      </w:r>
      <w:proofErr w:type="spellEnd"/>
      <w:r w:rsidRPr="004773FF">
        <w:rPr>
          <w:sz w:val="24"/>
          <w:szCs w:val="24"/>
        </w:rPr>
        <w:t xml:space="preserve"> агрегат или самостоятелно съставляващи такъв агрегат;</w:t>
      </w:r>
    </w:p>
    <w:p w:rsidR="004773FF" w:rsidRPr="004773FF"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машиностроене и </w:t>
      </w:r>
      <w:proofErr w:type="spellStart"/>
      <w:r w:rsidRPr="004773FF">
        <w:rPr>
          <w:sz w:val="24"/>
          <w:szCs w:val="24"/>
        </w:rPr>
        <w:t>уредостроене</w:t>
      </w:r>
      <w:proofErr w:type="spellEnd"/>
      <w:r w:rsidRPr="004773FF">
        <w:rPr>
          <w:sz w:val="24"/>
          <w:szCs w:val="24"/>
        </w:rPr>
        <w:t>, вкл. части, компоненти и системи, с акцент върху транспорта и енергетиката;</w:t>
      </w:r>
    </w:p>
    <w:p w:rsidR="004773FF" w:rsidRPr="004773FF"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lastRenderedPageBreak/>
        <w:t xml:space="preserve">инженеринг, </w:t>
      </w:r>
      <w:proofErr w:type="spellStart"/>
      <w:r w:rsidRPr="004773FF">
        <w:rPr>
          <w:sz w:val="24"/>
          <w:szCs w:val="24"/>
        </w:rPr>
        <w:t>реинженеринг</w:t>
      </w:r>
      <w:proofErr w:type="spellEnd"/>
      <w:r w:rsidRPr="004773FF">
        <w:rPr>
          <w:sz w:val="24"/>
          <w:szCs w:val="24"/>
        </w:rPr>
        <w:t xml:space="preserve"> и продължаване на жизнения цикъл на индустриални машини, уреди и системи;</w:t>
      </w:r>
    </w:p>
    <w:p w:rsidR="004773FF" w:rsidRPr="004773FF"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роботика и автоматизация на процеси;</w:t>
      </w:r>
    </w:p>
    <w:p w:rsidR="004773FF" w:rsidRPr="004773FF"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4773FF">
        <w:rPr>
          <w:sz w:val="24"/>
          <w:szCs w:val="24"/>
        </w:rPr>
        <w:t>аеро-космическата</w:t>
      </w:r>
      <w:proofErr w:type="spellEnd"/>
      <w:r w:rsidRPr="004773FF">
        <w:rPr>
          <w:sz w:val="24"/>
          <w:szCs w:val="24"/>
        </w:rPr>
        <w:t xml:space="preserve"> индустрия;</w:t>
      </w:r>
    </w:p>
    <w:p w:rsidR="004773FF" w:rsidRPr="0068384D"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68384D">
        <w:rPr>
          <w:sz w:val="24"/>
          <w:szCs w:val="24"/>
        </w:rPr>
        <w:t>био-мехатроника</w:t>
      </w:r>
      <w:proofErr w:type="spellEnd"/>
      <w:r w:rsidRPr="0068384D">
        <w:rPr>
          <w:sz w:val="24"/>
          <w:szCs w:val="24"/>
        </w:rPr>
        <w:t>;</w:t>
      </w:r>
    </w:p>
    <w:p w:rsidR="004773FF" w:rsidRPr="0068384D"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68384D">
        <w:rPr>
          <w:sz w:val="24"/>
          <w:szCs w:val="24"/>
        </w:rPr>
        <w:t>интелигентни системи и уреди, „интелигентни домове“ – „интелигентни градове“;</w:t>
      </w:r>
    </w:p>
    <w:p w:rsidR="00041F72" w:rsidRDefault="004773FF"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чисти технологии с акцент върху транспорта и енергетиката (съхранение, спестяване и ефективно разпределение на енергия, електрически превозни средства и </w:t>
      </w:r>
      <w:proofErr w:type="spellStart"/>
      <w:r w:rsidRPr="004773FF">
        <w:rPr>
          <w:sz w:val="24"/>
          <w:szCs w:val="24"/>
        </w:rPr>
        <w:t>еко-мобилност</w:t>
      </w:r>
      <w:proofErr w:type="spellEnd"/>
      <w:r w:rsidRPr="004773FF">
        <w:rPr>
          <w:sz w:val="24"/>
          <w:szCs w:val="24"/>
        </w:rPr>
        <w:t xml:space="preserve">, водород-базирани модели и технологии, безотпадни технологии, </w:t>
      </w:r>
      <w:proofErr w:type="spellStart"/>
      <w:r w:rsidRPr="004773FF">
        <w:rPr>
          <w:sz w:val="24"/>
          <w:szCs w:val="24"/>
        </w:rPr>
        <w:t>технологии</w:t>
      </w:r>
      <w:proofErr w:type="spellEnd"/>
      <w:r w:rsidRPr="004773FF">
        <w:rPr>
          <w:sz w:val="24"/>
          <w:szCs w:val="24"/>
        </w:rPr>
        <w:t xml:space="preserve"> и методи за включване на отпадъчни продукти и материали от производства в други производства).</w:t>
      </w:r>
    </w:p>
    <w:p w:rsidR="00DB3157" w:rsidRPr="00DB3157" w:rsidRDefault="00DB3157" w:rsidP="00DB3157">
      <w:pPr>
        <w:pBdr>
          <w:top w:val="single" w:sz="4" w:space="1" w:color="auto"/>
          <w:left w:val="single" w:sz="4" w:space="4" w:color="auto"/>
          <w:bottom w:val="single" w:sz="4" w:space="1" w:color="auto"/>
          <w:right w:val="single" w:sz="4" w:space="4" w:color="auto"/>
        </w:pBdr>
        <w:spacing w:before="240" w:after="120" w:line="240" w:lineRule="auto"/>
        <w:jc w:val="both"/>
        <w:rPr>
          <w:b/>
          <w:sz w:val="24"/>
          <w:szCs w:val="24"/>
        </w:rPr>
      </w:pPr>
      <w:r>
        <w:rPr>
          <w:b/>
          <w:sz w:val="24"/>
          <w:szCs w:val="24"/>
        </w:rPr>
        <w:t xml:space="preserve">•    </w:t>
      </w:r>
      <w:r w:rsidRPr="00DB3157">
        <w:rPr>
          <w:b/>
          <w:sz w:val="24"/>
          <w:szCs w:val="24"/>
        </w:rPr>
        <w:t>индустрия за здравословен живот и биотехнологии</w:t>
      </w:r>
      <w:r w:rsidR="00C84AEA">
        <w:rPr>
          <w:rStyle w:val="FootnoteReference"/>
          <w:b/>
          <w:sz w:val="24"/>
          <w:szCs w:val="24"/>
        </w:rPr>
        <w:footnoteReference w:id="10"/>
      </w:r>
      <w:r w:rsidRPr="00DB3157">
        <w:rPr>
          <w:b/>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производство на специализирани храни и напитки (бебешки и детски, „космически“ храни)</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 xml:space="preserve">производство на инструменти, оборудване, консумативи за медицинска и </w:t>
      </w:r>
      <w:proofErr w:type="spellStart"/>
      <w:r w:rsidRPr="00DB3157">
        <w:rPr>
          <w:sz w:val="24"/>
          <w:szCs w:val="24"/>
        </w:rPr>
        <w:t>дентална</w:t>
      </w:r>
      <w:proofErr w:type="spellEnd"/>
      <w:r w:rsidRPr="00DB3157">
        <w:rPr>
          <w:sz w:val="24"/>
          <w:szCs w:val="24"/>
        </w:rPr>
        <w:t xml:space="preserve"> диагностика и терапия и/или участие в над-национална производствена верига</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персонална медицина, диагностика и индивидуална терапия, лечебни и лекарствени форми и средства</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медицински и лечебен туризъм с акцент върху възможностите за персонализация (немасов, а персонален туризъм)</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DB3157">
        <w:rPr>
          <w:sz w:val="24"/>
          <w:szCs w:val="24"/>
        </w:rPr>
        <w:t>нано-технологии</w:t>
      </w:r>
      <w:proofErr w:type="spellEnd"/>
      <w:r w:rsidRPr="00DB3157">
        <w:rPr>
          <w:sz w:val="24"/>
          <w:szCs w:val="24"/>
        </w:rPr>
        <w:t xml:space="preserve"> в услуга на медицината</w:t>
      </w:r>
      <w:r w:rsidR="00A3606D">
        <w:rPr>
          <w:sz w:val="24"/>
          <w:szCs w:val="24"/>
        </w:rPr>
        <w:t>;</w:t>
      </w:r>
    </w:p>
    <w:p w:rsidR="00DB3157" w:rsidRP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DB3157">
        <w:rPr>
          <w:sz w:val="24"/>
          <w:szCs w:val="24"/>
        </w:rPr>
        <w:t>био-технологии</w:t>
      </w:r>
      <w:proofErr w:type="spellEnd"/>
      <w:r w:rsidRPr="00DB3157">
        <w:rPr>
          <w:sz w:val="24"/>
          <w:szCs w:val="24"/>
        </w:rPr>
        <w:t xml:space="preserve"> с пряко приложение за здравословен начин на живот</w:t>
      </w:r>
      <w:r w:rsidR="00A3606D">
        <w:rPr>
          <w:sz w:val="24"/>
          <w:szCs w:val="24"/>
        </w:rPr>
        <w:t>;</w:t>
      </w:r>
    </w:p>
    <w:p w:rsidR="00DB3157" w:rsidRDefault="00DB3157" w:rsidP="00DB3157">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„сини“ технологии и приложение на нови методи и технологии в устойчивото ползване на речни и морски ресурси</w:t>
      </w:r>
      <w:r w:rsidR="00E22680">
        <w:rPr>
          <w:sz w:val="24"/>
          <w:szCs w:val="24"/>
        </w:rPr>
        <w:t>.</w:t>
      </w:r>
    </w:p>
    <w:p w:rsidR="00A3606D" w:rsidRPr="00A3606D" w:rsidRDefault="00A3606D" w:rsidP="00A3606D">
      <w:pPr>
        <w:pBdr>
          <w:top w:val="single" w:sz="4" w:space="1" w:color="auto"/>
          <w:left w:val="single" w:sz="4" w:space="4" w:color="auto"/>
          <w:bottom w:val="single" w:sz="4" w:space="1" w:color="auto"/>
          <w:right w:val="single" w:sz="4" w:space="4" w:color="auto"/>
        </w:pBdr>
        <w:spacing w:before="240" w:after="120" w:line="240" w:lineRule="auto"/>
        <w:jc w:val="both"/>
        <w:rPr>
          <w:b/>
          <w:sz w:val="24"/>
          <w:szCs w:val="24"/>
        </w:rPr>
      </w:pPr>
      <w:r>
        <w:rPr>
          <w:b/>
          <w:sz w:val="24"/>
          <w:szCs w:val="24"/>
        </w:rPr>
        <w:t xml:space="preserve">•    </w:t>
      </w:r>
      <w:r w:rsidRPr="00A3606D">
        <w:rPr>
          <w:b/>
          <w:sz w:val="24"/>
          <w:szCs w:val="24"/>
        </w:rPr>
        <w:t>нови технологии в креативните и рекреативните индустрии:</w:t>
      </w:r>
    </w:p>
    <w:p w:rsidR="00A3606D" w:rsidRPr="00A3606D" w:rsidRDefault="00A3606D" w:rsidP="00A3606D">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културните и творческите индустрии (според дефиниция на ЕК: архитектура, архивно дело и библиотекарство, артистични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w:t>
      </w:r>
    </w:p>
    <w:p w:rsidR="00A3606D" w:rsidRPr="00A3606D" w:rsidRDefault="00A3606D" w:rsidP="00A3606D">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компютърни и мобилни приложения и игри с образователен, маркетинг и/или развлекателен характер;</w:t>
      </w:r>
    </w:p>
    <w:p w:rsidR="00A3606D" w:rsidRPr="00A3606D" w:rsidRDefault="00A3606D" w:rsidP="00A3606D">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 xml:space="preserve">алтернативен (селски, </w:t>
      </w:r>
      <w:proofErr w:type="spellStart"/>
      <w:r w:rsidRPr="00A3606D">
        <w:rPr>
          <w:sz w:val="24"/>
          <w:szCs w:val="24"/>
        </w:rPr>
        <w:t>еко-</w:t>
      </w:r>
      <w:proofErr w:type="spellEnd"/>
      <w:r w:rsidRPr="00A3606D">
        <w:rPr>
          <w:sz w:val="24"/>
          <w:szCs w:val="24"/>
        </w:rPr>
        <w:t xml:space="preserve">, културен и фестивален) и екстремен туризъм и спорт (за стимулиране на несезонен, немасов, а постоянен </w:t>
      </w:r>
      <w:proofErr w:type="spellStart"/>
      <w:r w:rsidRPr="00A3606D">
        <w:rPr>
          <w:sz w:val="24"/>
          <w:szCs w:val="24"/>
        </w:rPr>
        <w:t>нишов</w:t>
      </w:r>
      <w:proofErr w:type="spellEnd"/>
      <w:r w:rsidRPr="00A3606D">
        <w:rPr>
          <w:sz w:val="24"/>
          <w:szCs w:val="24"/>
        </w:rPr>
        <w:t xml:space="preserve"> туризъм);</w:t>
      </w:r>
    </w:p>
    <w:p w:rsidR="00DB3157" w:rsidRPr="00A3606D" w:rsidRDefault="00A3606D" w:rsidP="00A3606D">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lastRenderedPageBreak/>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A3606D">
        <w:rPr>
          <w:sz w:val="24"/>
          <w:szCs w:val="24"/>
        </w:rPr>
        <w:t>възстановки</w:t>
      </w:r>
      <w:proofErr w:type="spellEnd"/>
      <w:r w:rsidRPr="00A3606D">
        <w:rPr>
          <w:sz w:val="24"/>
          <w:szCs w:val="24"/>
        </w:rPr>
        <w:t>, специализирана екипировка и оборудване, печатни издания).</w:t>
      </w:r>
    </w:p>
    <w:p w:rsidR="00A3606D" w:rsidRDefault="00A3606D"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b/>
          <w:sz w:val="24"/>
          <w:szCs w:val="24"/>
        </w:rPr>
      </w:pPr>
    </w:p>
    <w:p w:rsidR="00261CEE" w:rsidRDefault="002F1FD6"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sz w:val="24"/>
          <w:szCs w:val="24"/>
        </w:rPr>
      </w:pPr>
      <w:r w:rsidRPr="00997BDB">
        <w:rPr>
          <w:b/>
          <w:sz w:val="24"/>
          <w:szCs w:val="24"/>
        </w:rPr>
        <w:t>2)</w:t>
      </w:r>
      <w:r w:rsidRPr="00997BDB">
        <w:rPr>
          <w:sz w:val="24"/>
          <w:szCs w:val="24"/>
        </w:rPr>
        <w:t xml:space="preserve"> </w:t>
      </w:r>
      <w:r w:rsidR="00807FA8" w:rsidRPr="00997BDB">
        <w:rPr>
          <w:sz w:val="24"/>
          <w:szCs w:val="24"/>
        </w:rPr>
        <w:t>Проектит</w:t>
      </w:r>
      <w:r w:rsidR="003573E6">
        <w:rPr>
          <w:sz w:val="24"/>
          <w:szCs w:val="24"/>
        </w:rPr>
        <w:t xml:space="preserve">е трябва да внедряват иновация, която е </w:t>
      </w:r>
      <w:r w:rsidR="00807FA8" w:rsidRPr="00997BDB">
        <w:rPr>
          <w:sz w:val="24"/>
          <w:szCs w:val="24"/>
        </w:rPr>
        <w:t>собствена разработка или на база интелектуални</w:t>
      </w:r>
      <w:r w:rsidR="003573E6">
        <w:rPr>
          <w:sz w:val="24"/>
          <w:szCs w:val="24"/>
        </w:rPr>
        <w:t xml:space="preserve"> права, придобити от трети лица</w:t>
      </w:r>
      <w:r w:rsidR="00E22680">
        <w:rPr>
          <w:sz w:val="24"/>
          <w:szCs w:val="24"/>
        </w:rPr>
        <w:t>.</w:t>
      </w:r>
    </w:p>
    <w:p w:rsidR="00EC7CC7" w:rsidRDefault="00EC7CC7"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sz w:val="24"/>
          <w:szCs w:val="24"/>
        </w:rPr>
      </w:pPr>
    </w:p>
    <w:p w:rsidR="00EC7CC7" w:rsidRPr="00BB0408" w:rsidRDefault="00997BDB" w:rsidP="00EC7CC7">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sz w:val="24"/>
          <w:szCs w:val="24"/>
        </w:rPr>
      </w:pPr>
      <w:r w:rsidRPr="00997BDB">
        <w:rPr>
          <w:sz w:val="24"/>
          <w:szCs w:val="24"/>
        </w:rPr>
        <w:t>Съгласно Наръчника от Осло (</w:t>
      </w:r>
      <w:proofErr w:type="spellStart"/>
      <w:r w:rsidRPr="00997BDB">
        <w:rPr>
          <w:sz w:val="24"/>
          <w:szCs w:val="24"/>
        </w:rPr>
        <w:t>Manuel</w:t>
      </w:r>
      <w:proofErr w:type="spellEnd"/>
      <w:r w:rsidRPr="00997BDB">
        <w:rPr>
          <w:sz w:val="24"/>
          <w:szCs w:val="24"/>
        </w:rPr>
        <w:t xml:space="preserve"> </w:t>
      </w:r>
      <w:proofErr w:type="spellStart"/>
      <w:r w:rsidRPr="00997BDB">
        <w:rPr>
          <w:sz w:val="24"/>
          <w:szCs w:val="24"/>
        </w:rPr>
        <w:t>d’Oslo</w:t>
      </w:r>
      <w:proofErr w:type="spellEnd"/>
      <w:r w:rsidRPr="00997BDB">
        <w:rPr>
          <w:sz w:val="24"/>
          <w:szCs w:val="24"/>
        </w:rPr>
        <w:t xml:space="preserve"> 3e </w:t>
      </w:r>
      <w:proofErr w:type="spellStart"/>
      <w:r w:rsidRPr="00997BDB">
        <w:rPr>
          <w:sz w:val="24"/>
          <w:szCs w:val="24"/>
        </w:rPr>
        <w:t>édition</w:t>
      </w:r>
      <w:proofErr w:type="spellEnd"/>
      <w:r w:rsidRPr="00997BDB">
        <w:rPr>
          <w:sz w:val="24"/>
          <w:szCs w:val="24"/>
        </w:rPr>
        <w:t xml:space="preserve"> © OECD/EUROPEAN COMMUNITIES 2005) </w:t>
      </w:r>
      <w:r w:rsidRPr="00921FBB">
        <w:rPr>
          <w:b/>
          <w:sz w:val="24"/>
          <w:szCs w:val="24"/>
        </w:rPr>
        <w:t>иновация</w:t>
      </w:r>
      <w:r w:rsidRPr="00997BDB">
        <w:rPr>
          <w:sz w:val="24"/>
          <w:szCs w:val="24"/>
        </w:rPr>
        <w:t xml:space="preserve"> е </w:t>
      </w:r>
      <w:r w:rsidRPr="00BB0408">
        <w:rPr>
          <w:sz w:val="24"/>
          <w:szCs w:val="24"/>
        </w:rPr>
        <w:t>въвеждане в употреба на някакъв нов или значително подобрен продукт (стока или услуга) или производствен процес, на нов метод за маркетинг или на нов  организационен метод в търговската практика, организацията на работните места или външните връзки, които създават пазарни предимства и при това повишават конкурентоспособността  на фирмите.</w:t>
      </w:r>
    </w:p>
    <w:p w:rsidR="00997BDB" w:rsidRPr="00997BDB" w:rsidRDefault="00997BDB" w:rsidP="00997BDB">
      <w:pPr>
        <w:pBdr>
          <w:top w:val="single" w:sz="4" w:space="1" w:color="auto"/>
          <w:left w:val="single" w:sz="4" w:space="4" w:color="auto"/>
          <w:bottom w:val="single" w:sz="4" w:space="1" w:color="auto"/>
          <w:right w:val="single" w:sz="4" w:space="4" w:color="auto"/>
        </w:pBdr>
        <w:spacing w:before="240" w:after="120" w:line="240" w:lineRule="auto"/>
        <w:jc w:val="both"/>
        <w:rPr>
          <w:sz w:val="24"/>
          <w:szCs w:val="24"/>
        </w:rPr>
      </w:pPr>
      <w:r w:rsidRPr="00997BDB">
        <w:rPr>
          <w:sz w:val="24"/>
          <w:szCs w:val="24"/>
        </w:rPr>
        <w:t xml:space="preserve">По процедурата </w:t>
      </w:r>
      <w:r w:rsidRPr="000373A4">
        <w:rPr>
          <w:b/>
          <w:sz w:val="24"/>
          <w:szCs w:val="24"/>
        </w:rPr>
        <w:t>няма</w:t>
      </w:r>
      <w:r w:rsidRPr="00BB0408">
        <w:rPr>
          <w:sz w:val="24"/>
          <w:szCs w:val="24"/>
        </w:rPr>
        <w:t xml:space="preserve"> да се приемат за иновации:</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незначителни  изменения или подобрения;</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рутинни  модернизации</w:t>
      </w:r>
      <w:r w:rsidR="00D2626C">
        <w:rPr>
          <w:rStyle w:val="FootnoteReference"/>
          <w:sz w:val="24"/>
          <w:szCs w:val="24"/>
        </w:rPr>
        <w:footnoteReference w:id="11"/>
      </w:r>
      <w:r w:rsidRPr="00997BDB">
        <w:rPr>
          <w:sz w:val="24"/>
          <w:szCs w:val="24"/>
        </w:rPr>
        <w:t>;</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 xml:space="preserve">редовни  сезонни изменения (такива като  в асортимента на облеклото); </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следствия  от приспособяване към изискванията  на отделния клиент, които не  водят до съществени отлики  от продукцията, произведена за  останалите клиенти;</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изменения в дизайна, които не променят функционирането, предназначението  или техническите характеристики  на стоката или услугата;</w:t>
      </w:r>
    </w:p>
    <w:p w:rsidR="00997BDB" w:rsidRPr="00997BDB"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проста препродажба на нови стоки или услуги,придобити от други предприятия;</w:t>
      </w:r>
    </w:p>
    <w:p w:rsidR="00410DE4" w:rsidRPr="00261CEE" w:rsidRDefault="00997BDB" w:rsidP="00FA7F21">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997BDB">
        <w:rPr>
          <w:sz w:val="24"/>
          <w:szCs w:val="24"/>
        </w:rPr>
        <w:t>увеличаване на производствения капацитет или капацитета за предоставяне на услуги чрез добавяне на производствени или логистични системи, които са много сходни с вече използваните.</w:t>
      </w:r>
    </w:p>
    <w:p w:rsidR="00921FBB" w:rsidRDefault="00921FBB" w:rsidP="00921FBB">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rsidR="00261CEE" w:rsidRPr="00410DE4" w:rsidRDefault="00410DE4" w:rsidP="00921FBB">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410DE4">
        <w:rPr>
          <w:sz w:val="24"/>
          <w:szCs w:val="24"/>
        </w:rPr>
        <w:t xml:space="preserve">Съгласно посочената дефиниция могат да бъдат разграничени следните </w:t>
      </w:r>
      <w:r w:rsidR="00921FBB">
        <w:rPr>
          <w:b/>
          <w:sz w:val="24"/>
          <w:szCs w:val="24"/>
        </w:rPr>
        <w:t xml:space="preserve">видове </w:t>
      </w:r>
      <w:r w:rsidRPr="006A790E">
        <w:rPr>
          <w:b/>
          <w:sz w:val="24"/>
          <w:szCs w:val="24"/>
        </w:rPr>
        <w:t>иновации</w:t>
      </w:r>
      <w:r w:rsidRPr="00410DE4">
        <w:rPr>
          <w:sz w:val="24"/>
          <w:szCs w:val="24"/>
        </w:rPr>
        <w:t>:</w:t>
      </w:r>
    </w:p>
    <w:p w:rsidR="000373A4" w:rsidRPr="000373A4" w:rsidRDefault="000373A4" w:rsidP="00223A29">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223A29">
        <w:rPr>
          <w:b/>
          <w:sz w:val="24"/>
          <w:szCs w:val="24"/>
        </w:rPr>
        <w:t>Продуктова (стока или услуга) иновация</w:t>
      </w:r>
      <w:r w:rsidRPr="000373A4">
        <w:rPr>
          <w:sz w:val="24"/>
          <w:szCs w:val="24"/>
        </w:rPr>
        <w:t xml:space="preserve"> е внедряване на стока или услуга, която е нова или значително подобрена по отношение на нейните свойства или начини на използване. Това включва и значителните подобрения в техническите характеристики, компонентите и материалите, вграден софтуер, степента на удобството при ползване или в някакви други функционални характеристики;</w:t>
      </w:r>
    </w:p>
    <w:p w:rsidR="000373A4" w:rsidRPr="000373A4" w:rsidRDefault="000373A4" w:rsidP="00223A29">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223A29">
        <w:rPr>
          <w:b/>
          <w:sz w:val="24"/>
          <w:szCs w:val="24"/>
        </w:rPr>
        <w:lastRenderedPageBreak/>
        <w:t>Производствена (</w:t>
      </w:r>
      <w:proofErr w:type="spellStart"/>
      <w:r w:rsidRPr="00223A29">
        <w:rPr>
          <w:b/>
          <w:sz w:val="24"/>
          <w:szCs w:val="24"/>
        </w:rPr>
        <w:t>процесна</w:t>
      </w:r>
      <w:proofErr w:type="spellEnd"/>
      <w:r w:rsidRPr="00223A29">
        <w:rPr>
          <w:b/>
          <w:sz w:val="24"/>
          <w:szCs w:val="24"/>
        </w:rPr>
        <w:t>) иновация</w:t>
      </w:r>
      <w:r w:rsidRPr="000373A4">
        <w:rPr>
          <w:sz w:val="24"/>
          <w:szCs w:val="24"/>
        </w:rPr>
        <w:t xml:space="preserve"> е внедряване на нов или значително подобрен начин на производство или доставка на продукта. Тук влизат значителни изменения в технологиите, производственото оборудване и/или софтуера;</w:t>
      </w:r>
    </w:p>
    <w:p w:rsidR="000373A4" w:rsidRPr="000373A4" w:rsidRDefault="000373A4" w:rsidP="00223A29">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0373A4">
        <w:rPr>
          <w:sz w:val="24"/>
          <w:szCs w:val="24"/>
        </w:rPr>
        <w:t>Маркетингова иновация е внедряване на нов метод за маркетинг, включително на значителни изменения в дизайна или опаковката на продукта, неговото складиране, реклама на пазара или в определянето на неговата продажна цена;</w:t>
      </w:r>
    </w:p>
    <w:p w:rsidR="000E512C" w:rsidRDefault="000373A4" w:rsidP="00223A29">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b/>
          <w:sz w:val="24"/>
          <w:szCs w:val="24"/>
        </w:rPr>
      </w:pPr>
      <w:r w:rsidRPr="000373A4">
        <w:rPr>
          <w:sz w:val="24"/>
          <w:szCs w:val="24"/>
        </w:rPr>
        <w:t>Организационна иновация е внедряване на нов организационен метод в търговската практика на фирмата, в организацията на работните места или външните връзки.</w:t>
      </w:r>
    </w:p>
    <w:p w:rsidR="000373A4" w:rsidRDefault="000373A4" w:rsidP="00643432">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b/>
          <w:sz w:val="24"/>
          <w:szCs w:val="24"/>
        </w:rPr>
      </w:pPr>
    </w:p>
    <w:p w:rsidR="00177CE4" w:rsidRPr="00177CE4" w:rsidRDefault="006A790E" w:rsidP="00EA7726">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b/>
          <w:sz w:val="24"/>
          <w:szCs w:val="24"/>
        </w:rPr>
        <w:t xml:space="preserve">ВАЖНО: </w:t>
      </w:r>
      <w:r w:rsidRPr="006A790E">
        <w:rPr>
          <w:sz w:val="24"/>
          <w:szCs w:val="24"/>
        </w:rPr>
        <w:t xml:space="preserve">С оглед на постигане на целите и изпълнение на индикаторите, заложени в ОПИК 2014-2020, по процедурата </w:t>
      </w:r>
      <w:r w:rsidRPr="006A790E">
        <w:rPr>
          <w:b/>
          <w:sz w:val="24"/>
          <w:szCs w:val="24"/>
        </w:rPr>
        <w:t xml:space="preserve">ще бъдат финансирани </w:t>
      </w:r>
      <w:r w:rsidR="00921FBB">
        <w:rPr>
          <w:b/>
          <w:sz w:val="24"/>
          <w:szCs w:val="24"/>
        </w:rPr>
        <w:t>САМО</w:t>
      </w:r>
      <w:r w:rsidRPr="006A790E">
        <w:rPr>
          <w:b/>
          <w:sz w:val="24"/>
          <w:szCs w:val="24"/>
        </w:rPr>
        <w:t xml:space="preserve"> проекти, въвеждащи продуктова и/</w:t>
      </w:r>
      <w:r>
        <w:rPr>
          <w:b/>
          <w:sz w:val="24"/>
          <w:szCs w:val="24"/>
        </w:rPr>
        <w:t>или произво</w:t>
      </w:r>
      <w:r w:rsidR="006D0786">
        <w:rPr>
          <w:b/>
          <w:sz w:val="24"/>
          <w:szCs w:val="24"/>
        </w:rPr>
        <w:t>дствена иновация.</w:t>
      </w:r>
    </w:p>
    <w:p w:rsidR="00FA1AC3" w:rsidRPr="00BD3276" w:rsidRDefault="00B41C3D" w:rsidP="00FA1AC3">
      <w:pPr>
        <w:pStyle w:val="ListParagraph"/>
        <w:pBdr>
          <w:top w:val="single" w:sz="4" w:space="1" w:color="auto"/>
          <w:left w:val="single" w:sz="4" w:space="4" w:color="auto"/>
          <w:bottom w:val="single" w:sz="4" w:space="1" w:color="auto"/>
          <w:right w:val="single" w:sz="4" w:space="4" w:color="auto"/>
        </w:pBdr>
        <w:spacing w:before="240" w:after="120" w:line="240" w:lineRule="auto"/>
        <w:ind w:left="0"/>
        <w:jc w:val="both"/>
        <w:rPr>
          <w:b/>
          <w:sz w:val="24"/>
          <w:szCs w:val="24"/>
        </w:rPr>
      </w:pPr>
      <w:r>
        <w:rPr>
          <w:b/>
          <w:sz w:val="24"/>
          <w:szCs w:val="24"/>
        </w:rPr>
        <w:t>3</w:t>
      </w:r>
      <w:r w:rsidR="00D04D51" w:rsidRPr="00D04D51">
        <w:rPr>
          <w:b/>
          <w:sz w:val="24"/>
          <w:szCs w:val="24"/>
        </w:rPr>
        <w:t>)</w:t>
      </w:r>
      <w:r w:rsidR="00D04D51">
        <w:rPr>
          <w:sz w:val="24"/>
          <w:szCs w:val="24"/>
        </w:rPr>
        <w:t xml:space="preserve"> </w:t>
      </w:r>
      <w:r w:rsidR="00CC6C1A" w:rsidRPr="00CC6C1A">
        <w:rPr>
          <w:sz w:val="24"/>
          <w:szCs w:val="24"/>
        </w:rPr>
        <w:t>Допустими за подкрепа по</w:t>
      </w:r>
      <w:r w:rsidR="00C678DB" w:rsidRPr="00C678DB">
        <w:t xml:space="preserve"> </w:t>
      </w:r>
      <w:r w:rsidR="00C678DB" w:rsidRPr="00C678DB">
        <w:rPr>
          <w:sz w:val="24"/>
          <w:szCs w:val="24"/>
        </w:rPr>
        <w:t>Елемент „Инвестиции“, в случаите на</w:t>
      </w:r>
      <w:r w:rsidR="00CC6C1A" w:rsidRPr="00CC6C1A">
        <w:rPr>
          <w:sz w:val="24"/>
          <w:szCs w:val="24"/>
        </w:rPr>
        <w:t xml:space="preserve"> режим Регионална инвестиционна помощ съгласно чл. 13 и чл. 14 от Регламент (ЕС) № 651/2014</w:t>
      </w:r>
      <w:r w:rsidR="00CC6C1A">
        <w:rPr>
          <w:sz w:val="24"/>
          <w:szCs w:val="24"/>
        </w:rPr>
        <w:t xml:space="preserve"> са </w:t>
      </w:r>
      <w:r w:rsidR="00CC6C1A" w:rsidRPr="00CC6C1A">
        <w:rPr>
          <w:sz w:val="24"/>
          <w:szCs w:val="24"/>
        </w:rPr>
        <w:t>проектни предложения, които имат за свой основен предмет осъществяването на първоначални инвестиции в материални и нематериални активи, свързани със</w:t>
      </w:r>
      <w:r w:rsidR="00FA1AC3" w:rsidRPr="00BD3276">
        <w:rPr>
          <w:b/>
          <w:sz w:val="24"/>
          <w:szCs w:val="24"/>
        </w:rPr>
        <w:t>:</w:t>
      </w:r>
    </w:p>
    <w:p w:rsidR="00FA1AC3" w:rsidRDefault="00FA1AC3" w:rsidP="00FA1AC3">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BD3276">
        <w:rPr>
          <w:b/>
          <w:sz w:val="24"/>
          <w:szCs w:val="24"/>
        </w:rPr>
        <w:t>− създаването на нов стопански обект</w:t>
      </w:r>
      <w:r w:rsidR="00C678DB">
        <w:rPr>
          <w:b/>
          <w:sz w:val="24"/>
          <w:szCs w:val="24"/>
        </w:rPr>
        <w:t xml:space="preserve"> или</w:t>
      </w:r>
      <w:r w:rsidRPr="00BD3276">
        <w:rPr>
          <w:b/>
          <w:sz w:val="24"/>
          <w:szCs w:val="24"/>
        </w:rPr>
        <w:t xml:space="preserve"> </w:t>
      </w:r>
    </w:p>
    <w:p w:rsidR="00C678DB" w:rsidRPr="00C678DB" w:rsidRDefault="00C678DB" w:rsidP="00FA1AC3">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C678DB">
        <w:rPr>
          <w:sz w:val="24"/>
          <w:szCs w:val="24"/>
        </w:rPr>
        <w:t xml:space="preserve">Създаването на нов стопански обект означава създаването на нова различна производствена единица, а не на ново различно юридическо лице. За да се определи като стопански обект производствената единица трябва да е пространствено, функционално и организационно отделена единица, която се характеризира с висока степен на автономност. Определянето на инвестицията като нов стопански обект, а не разширяване на капацитета на съществуващ стопански обект </w:t>
      </w:r>
      <w:r w:rsidR="00807249">
        <w:rPr>
          <w:sz w:val="24"/>
          <w:szCs w:val="24"/>
        </w:rPr>
        <w:t xml:space="preserve">е в </w:t>
      </w:r>
      <w:r w:rsidRPr="00C678DB">
        <w:rPr>
          <w:sz w:val="24"/>
          <w:szCs w:val="24"/>
        </w:rPr>
        <w:t>зависи</w:t>
      </w:r>
      <w:r w:rsidR="00807249">
        <w:rPr>
          <w:sz w:val="24"/>
          <w:szCs w:val="24"/>
        </w:rPr>
        <w:t>мост</w:t>
      </w:r>
      <w:r w:rsidRPr="00C678DB">
        <w:rPr>
          <w:sz w:val="24"/>
          <w:szCs w:val="24"/>
        </w:rPr>
        <w:t xml:space="preserve"> </w:t>
      </w:r>
      <w:r w:rsidR="00807249">
        <w:rPr>
          <w:sz w:val="24"/>
          <w:szCs w:val="24"/>
        </w:rPr>
        <w:t>от</w:t>
      </w:r>
      <w:r w:rsidRPr="00C678DB">
        <w:rPr>
          <w:sz w:val="24"/>
          <w:szCs w:val="24"/>
        </w:rPr>
        <w:t xml:space="preserve"> това дали предприятието вече има стопански обект в същото конкретно местонахождение</w:t>
      </w:r>
      <w:r w:rsidR="00ED31CC">
        <w:rPr>
          <w:sz w:val="24"/>
          <w:szCs w:val="24"/>
        </w:rPr>
        <w:t>.</w:t>
      </w:r>
    </w:p>
    <w:p w:rsidR="00FA1AC3" w:rsidRDefault="00FA1AC3" w:rsidP="00FA1AC3">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BD3276">
        <w:rPr>
          <w:b/>
          <w:sz w:val="24"/>
          <w:szCs w:val="24"/>
        </w:rPr>
        <w:t>− разширяването на капацитета на съществуващ стопански обе</w:t>
      </w:r>
      <w:r w:rsidR="00CF3740">
        <w:rPr>
          <w:b/>
          <w:sz w:val="24"/>
          <w:szCs w:val="24"/>
        </w:rPr>
        <w:t>кт</w:t>
      </w:r>
      <w:r w:rsidR="002242DB">
        <w:rPr>
          <w:b/>
          <w:sz w:val="24"/>
          <w:szCs w:val="24"/>
        </w:rPr>
        <w:t>,</w:t>
      </w:r>
      <w:r w:rsidR="00ED31CC">
        <w:rPr>
          <w:b/>
          <w:sz w:val="24"/>
          <w:szCs w:val="24"/>
        </w:rPr>
        <w:t xml:space="preserve"> или</w:t>
      </w:r>
    </w:p>
    <w:p w:rsidR="00ED31CC" w:rsidRPr="00ED31CC" w:rsidRDefault="00ED31CC" w:rsidP="00FA1AC3">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ED31CC">
        <w:rPr>
          <w:sz w:val="24"/>
          <w:szCs w:val="24"/>
        </w:rPr>
        <w:t>Разширяване на капацитета на съществуващ стопански обект е налице, когато в следствие на инвестицията съществуващият стопански обект ще може да произвежда повече от поне един от вече произвежданите продукти (макар и значително усъвършенстван), при условие, че базисния производствен процес не се променя из основи.</w:t>
      </w:r>
    </w:p>
    <w:p w:rsidR="000E6BE8" w:rsidRDefault="000E6BE8" w:rsidP="00CF3740">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0E6BE8">
        <w:rPr>
          <w:b/>
          <w:sz w:val="24"/>
          <w:szCs w:val="24"/>
        </w:rPr>
        <w:t>−</w:t>
      </w:r>
      <w:r>
        <w:rPr>
          <w:b/>
          <w:sz w:val="24"/>
          <w:szCs w:val="24"/>
        </w:rPr>
        <w:t xml:space="preserve"> </w:t>
      </w:r>
      <w:r w:rsidR="00247FFB" w:rsidRPr="00247FFB">
        <w:rPr>
          <w:b/>
          <w:sz w:val="24"/>
          <w:szCs w:val="24"/>
        </w:rPr>
        <w:t>диверсификацията на продукцията на стопански обект с продукти, които не са били произвеждани до момента в стопанския обект, или</w:t>
      </w:r>
    </w:p>
    <w:p w:rsidR="00E87BAC" w:rsidRPr="00E87BAC" w:rsidRDefault="00E87BAC" w:rsidP="00E87BAC">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E87BAC">
        <w:rPr>
          <w:sz w:val="24"/>
          <w:szCs w:val="24"/>
        </w:rPr>
        <w:t>Диверсификацията на продукцията на стопански обект с продукти, които не са били произвеждани до момента в стопанския обект е налице, когато продуктът не е бил произвеждан в предприятието преди инвестицията за която се кандидатства. Незначително изменен продукт чрез рутинна продуктова иновация за разлика от основната иновация не се класифицира като продукт, който не е произвеждан преди. Диверсификацията на продукцията обхваща продукти с фундаментално нови характеристики, необхващащи незначително осъвременяване на продуктите.</w:t>
      </w:r>
    </w:p>
    <w:p w:rsidR="00E87BAC" w:rsidRPr="00E87BAC" w:rsidRDefault="00E87BAC" w:rsidP="00E87BAC">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E87BAC">
        <w:rPr>
          <w:sz w:val="24"/>
          <w:szCs w:val="24"/>
        </w:rPr>
        <w:lastRenderedPageBreak/>
        <w:t xml:space="preserve">За да бъде определена първоначалната инвестиция като диверсификация на продукцията на стопански обект е необходимо допустимите разходи да надхвърлят минималния праг уреден по чл. 14, </w:t>
      </w:r>
      <w:proofErr w:type="spellStart"/>
      <w:r w:rsidRPr="00E87BAC">
        <w:rPr>
          <w:sz w:val="24"/>
          <w:szCs w:val="24"/>
        </w:rPr>
        <w:t>пар</w:t>
      </w:r>
      <w:proofErr w:type="spellEnd"/>
      <w:r w:rsidRPr="00E87BAC">
        <w:rPr>
          <w:sz w:val="24"/>
          <w:szCs w:val="24"/>
        </w:rPr>
        <w:t>. 7 от Регламента, който по-подробно е пояснен в т. 9.</w:t>
      </w:r>
    </w:p>
    <w:p w:rsidR="00CF3740" w:rsidRDefault="000E6BE8" w:rsidP="00CF3740">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0E6BE8">
        <w:rPr>
          <w:b/>
          <w:sz w:val="24"/>
          <w:szCs w:val="24"/>
        </w:rPr>
        <w:t>−</w:t>
      </w:r>
      <w:r>
        <w:rPr>
          <w:b/>
          <w:sz w:val="24"/>
          <w:szCs w:val="24"/>
        </w:rPr>
        <w:t xml:space="preserve"> </w:t>
      </w:r>
      <w:r w:rsidR="00CF3740" w:rsidRPr="00CF3740">
        <w:rPr>
          <w:b/>
          <w:sz w:val="24"/>
          <w:szCs w:val="24"/>
        </w:rPr>
        <w:t>основна промяна в</w:t>
      </w:r>
      <w:r w:rsidR="00247FFB" w:rsidRPr="00247FFB">
        <w:rPr>
          <w:b/>
          <w:sz w:val="24"/>
          <w:szCs w:val="24"/>
        </w:rPr>
        <w:t xml:space="preserve"> целия производствен процес на съществуващ стопански обект</w:t>
      </w:r>
      <w:r>
        <w:rPr>
          <w:b/>
          <w:sz w:val="24"/>
          <w:szCs w:val="24"/>
        </w:rPr>
        <w:t>.</w:t>
      </w:r>
    </w:p>
    <w:p w:rsidR="0022475E" w:rsidRPr="0022475E" w:rsidRDefault="0022475E" w:rsidP="0022475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22475E">
        <w:rPr>
          <w:sz w:val="24"/>
          <w:szCs w:val="24"/>
        </w:rPr>
        <w:t>Промяна в целия производствен процес означава прилагането на основна за разлика от рутинна производствена (</w:t>
      </w:r>
      <w:proofErr w:type="spellStart"/>
      <w:r w:rsidRPr="0022475E">
        <w:rPr>
          <w:sz w:val="24"/>
          <w:szCs w:val="24"/>
        </w:rPr>
        <w:t>процесна</w:t>
      </w:r>
      <w:proofErr w:type="spellEnd"/>
      <w:r w:rsidRPr="0022475E">
        <w:rPr>
          <w:sz w:val="24"/>
          <w:szCs w:val="24"/>
        </w:rPr>
        <w:t>) иновация. Модернизирането на част от производствения процес не попада в посочения вид първоначална инвестиция, за да е налице фундаментална промяна следва да се модернизира цялостния производствен процес.</w:t>
      </w:r>
    </w:p>
    <w:p w:rsidR="0022475E" w:rsidRPr="0022475E" w:rsidRDefault="0022475E" w:rsidP="0022475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22475E">
        <w:rPr>
          <w:sz w:val="24"/>
          <w:szCs w:val="24"/>
        </w:rPr>
        <w:t xml:space="preserve">За да бъде определена първоначалната инвестиция като основна промяна е необходимо допустимите разходи да надхвърлят минимален праг уреден в чл. 14, </w:t>
      </w:r>
      <w:proofErr w:type="spellStart"/>
      <w:r w:rsidRPr="0022475E">
        <w:rPr>
          <w:sz w:val="24"/>
          <w:szCs w:val="24"/>
        </w:rPr>
        <w:t>пар</w:t>
      </w:r>
      <w:proofErr w:type="spellEnd"/>
      <w:r w:rsidRPr="0022475E">
        <w:rPr>
          <w:sz w:val="24"/>
          <w:szCs w:val="24"/>
        </w:rPr>
        <w:t>. 7 от Регламента, който по-подробно е пояснен в т. 9.</w:t>
      </w:r>
    </w:p>
    <w:p w:rsidR="00FA1AC3" w:rsidRPr="00BD3276" w:rsidRDefault="00FA1AC3" w:rsidP="00FA1AC3">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Недопустими са дейности</w:t>
      </w:r>
      <w:r w:rsidR="00F92055" w:rsidRPr="00BD3276">
        <w:rPr>
          <w:sz w:val="24"/>
          <w:szCs w:val="24"/>
        </w:rPr>
        <w:t>,</w:t>
      </w:r>
      <w:r w:rsidRPr="00BD3276">
        <w:rPr>
          <w:sz w:val="24"/>
          <w:szCs w:val="24"/>
        </w:rPr>
        <w:t xml:space="preserve"> изпълнявани единствено за намаляване на текущите разходи на дадено предприятие, които не са свързани с горните инвестиции.</w:t>
      </w:r>
    </w:p>
    <w:p w:rsidR="00277FDF" w:rsidRDefault="00FA1AC3" w:rsidP="00D04D51">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Инвестицията следва да се поддържа в региона получател</w:t>
      </w:r>
      <w:r w:rsidR="0093319A" w:rsidRPr="00BD3276">
        <w:rPr>
          <w:sz w:val="24"/>
          <w:szCs w:val="24"/>
        </w:rPr>
        <w:t xml:space="preserve"> </w:t>
      </w:r>
      <w:r w:rsidRPr="00BD3276">
        <w:rPr>
          <w:sz w:val="24"/>
          <w:szCs w:val="24"/>
        </w:rPr>
        <w:t xml:space="preserve">най-малко </w:t>
      </w:r>
      <w:r w:rsidR="002C5DC6">
        <w:rPr>
          <w:sz w:val="24"/>
          <w:szCs w:val="24"/>
        </w:rPr>
        <w:t xml:space="preserve">пет години или </w:t>
      </w:r>
      <w:r w:rsidRPr="00BD3276">
        <w:rPr>
          <w:sz w:val="24"/>
          <w:szCs w:val="24"/>
        </w:rPr>
        <w:t xml:space="preserve">три години </w:t>
      </w:r>
      <w:r w:rsidR="002C5DC6">
        <w:rPr>
          <w:sz w:val="24"/>
          <w:szCs w:val="24"/>
        </w:rPr>
        <w:t xml:space="preserve">в случай на МСП </w:t>
      </w:r>
      <w:r w:rsidRPr="00BD3276">
        <w:rPr>
          <w:sz w:val="24"/>
          <w:szCs w:val="24"/>
        </w:rPr>
        <w:t>след изпълнението на инвестицията.</w:t>
      </w:r>
      <w:r w:rsidR="00AA64C9" w:rsidRPr="00BD3276">
        <w:rPr>
          <w:sz w:val="24"/>
          <w:szCs w:val="24"/>
        </w:rPr>
        <w:t xml:space="preserve"> Посоченото изискване ще бъде проверявано както чрез извършване на проверки на място, включително и относно </w:t>
      </w:r>
      <w:r w:rsidR="00993B98" w:rsidRPr="001E79A8">
        <w:rPr>
          <w:sz w:val="24"/>
          <w:szCs w:val="24"/>
        </w:rPr>
        <w:t>обстоятелството дали съответният актив е доставе</w:t>
      </w:r>
      <w:r w:rsidR="00993B98" w:rsidRPr="00BD3276">
        <w:rPr>
          <w:sz w:val="24"/>
          <w:szCs w:val="24"/>
        </w:rPr>
        <w:t xml:space="preserve">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w:t>
      </w:r>
      <w:r w:rsidR="00993B98" w:rsidRPr="00494854">
        <w:rPr>
          <w:sz w:val="24"/>
          <w:szCs w:val="24"/>
        </w:rPr>
        <w:t>финансова помощ</w:t>
      </w:r>
      <w:r w:rsidR="00AA64C9" w:rsidRPr="00494854">
        <w:rPr>
          <w:sz w:val="24"/>
          <w:szCs w:val="24"/>
        </w:rPr>
        <w:t>, така и чрез проследяване на изпълнението на индикаторите по т. 7.2.</w:t>
      </w:r>
    </w:p>
    <w:p w:rsidR="00D04D51" w:rsidRDefault="00B41C3D" w:rsidP="00D04D51">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Pr>
          <w:b/>
          <w:sz w:val="24"/>
          <w:szCs w:val="24"/>
        </w:rPr>
        <w:t>4</w:t>
      </w:r>
      <w:r w:rsidR="00D04D51" w:rsidRPr="00D04D51">
        <w:rPr>
          <w:b/>
          <w:sz w:val="24"/>
          <w:szCs w:val="24"/>
        </w:rPr>
        <w:t>)</w:t>
      </w:r>
      <w:r w:rsidR="00D04D51">
        <w:rPr>
          <w:sz w:val="24"/>
          <w:szCs w:val="24"/>
        </w:rPr>
        <w:t xml:space="preserve"> </w:t>
      </w:r>
      <w:r w:rsidR="00D04D51" w:rsidRPr="00D04D51">
        <w:rPr>
          <w:sz w:val="24"/>
          <w:szCs w:val="24"/>
        </w:rPr>
        <w:t>Проектът е в съответствие с хоризонталните политики, залегнали в чл.</w:t>
      </w:r>
      <w:r w:rsidR="00E20CA0">
        <w:rPr>
          <w:sz w:val="24"/>
          <w:szCs w:val="24"/>
        </w:rPr>
        <w:t xml:space="preserve"> </w:t>
      </w:r>
      <w:r w:rsidR="00D04D51" w:rsidRPr="00D04D51">
        <w:rPr>
          <w:sz w:val="24"/>
          <w:szCs w:val="24"/>
        </w:rPr>
        <w:t>7 и чл.</w:t>
      </w:r>
      <w:r w:rsidR="00E20CA0">
        <w:rPr>
          <w:sz w:val="24"/>
          <w:szCs w:val="24"/>
        </w:rPr>
        <w:t xml:space="preserve"> </w:t>
      </w:r>
      <w:r w:rsidR="00D04D51" w:rsidRPr="00D04D51">
        <w:rPr>
          <w:sz w:val="24"/>
          <w:szCs w:val="24"/>
        </w:rPr>
        <w:t xml:space="preserve">8 на Регламент (ЕС) № 1303/2013 на </w:t>
      </w:r>
      <w:r w:rsidR="007979E7">
        <w:rPr>
          <w:sz w:val="24"/>
          <w:szCs w:val="24"/>
        </w:rPr>
        <w:t>Е</w:t>
      </w:r>
      <w:r w:rsidR="00D04D51" w:rsidRPr="00D04D51">
        <w:rPr>
          <w:sz w:val="24"/>
          <w:szCs w:val="24"/>
        </w:rPr>
        <w:t>в</w:t>
      </w:r>
      <w:r w:rsidR="009B454D">
        <w:rPr>
          <w:sz w:val="24"/>
          <w:szCs w:val="24"/>
        </w:rPr>
        <w:t>ропейския парламент и на Съвета.</w:t>
      </w:r>
    </w:p>
    <w:p w:rsidR="00636691" w:rsidRDefault="00B41C3D" w:rsidP="00D04D5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b/>
          <w:sz w:val="24"/>
          <w:szCs w:val="24"/>
        </w:rPr>
        <w:t>5</w:t>
      </w:r>
      <w:r w:rsidR="00D04D51" w:rsidRPr="00D04D51">
        <w:rPr>
          <w:b/>
          <w:sz w:val="24"/>
          <w:szCs w:val="24"/>
        </w:rPr>
        <w:t>)</w:t>
      </w:r>
      <w:r w:rsidR="00D04D51">
        <w:rPr>
          <w:sz w:val="24"/>
          <w:szCs w:val="24"/>
        </w:rPr>
        <w:t xml:space="preserve"> </w:t>
      </w:r>
      <w:r w:rsidR="00D04D51" w:rsidRPr="00D04D51">
        <w:rPr>
          <w:sz w:val="24"/>
          <w:szCs w:val="24"/>
        </w:rPr>
        <w:t>Проектът следва да бъде технически осъществим</w:t>
      </w:r>
      <w:r w:rsidR="00636691">
        <w:rPr>
          <w:sz w:val="24"/>
          <w:szCs w:val="24"/>
        </w:rPr>
        <w:t>.</w:t>
      </w:r>
    </w:p>
    <w:p w:rsidR="007E4EB4" w:rsidRDefault="007E4EB4" w:rsidP="00D04D5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b/>
          <w:sz w:val="24"/>
          <w:szCs w:val="24"/>
        </w:rPr>
        <w:t xml:space="preserve">ВАЖНО: </w:t>
      </w:r>
      <w:r w:rsidRPr="007E4EB4">
        <w:rPr>
          <w:sz w:val="24"/>
          <w:szCs w:val="24"/>
        </w:rPr>
        <w:t>При внедряването на иновативн</w:t>
      </w:r>
      <w:r>
        <w:rPr>
          <w:sz w:val="24"/>
          <w:szCs w:val="24"/>
        </w:rPr>
        <w:t xml:space="preserve">ите продукти (стоки или услуги) или </w:t>
      </w:r>
      <w:r w:rsidRPr="007E4EB4">
        <w:rPr>
          <w:sz w:val="24"/>
          <w:szCs w:val="24"/>
        </w:rPr>
        <w:t>процеси не трябва да се нарушават чужди права върху интелектуална собственост</w:t>
      </w:r>
      <w:r>
        <w:rPr>
          <w:sz w:val="24"/>
          <w:szCs w:val="24"/>
        </w:rPr>
        <w:t xml:space="preserve">. </w:t>
      </w:r>
      <w:r w:rsidRPr="007E4EB4">
        <w:rPr>
          <w:sz w:val="24"/>
          <w:szCs w:val="24"/>
        </w:rPr>
        <w:t xml:space="preserve">Ненарушаването на чужди права върху интелектуална собственост се декларира с Декларация за ненарушаване на чужди </w:t>
      </w:r>
      <w:r w:rsidRPr="00B4685D">
        <w:rPr>
          <w:sz w:val="24"/>
          <w:szCs w:val="24"/>
        </w:rPr>
        <w:t xml:space="preserve">права върху интелектуална собственост, попълнена от кандидатите по образец (Приложение </w:t>
      </w:r>
      <w:r w:rsidR="00B4685D" w:rsidRPr="00B4685D">
        <w:rPr>
          <w:sz w:val="24"/>
          <w:szCs w:val="24"/>
        </w:rPr>
        <w:t>Ж</w:t>
      </w:r>
      <w:r w:rsidRPr="00B4685D">
        <w:rPr>
          <w:sz w:val="24"/>
          <w:szCs w:val="24"/>
        </w:rPr>
        <w:t xml:space="preserve"> към Насоките за кандидатстване).</w:t>
      </w:r>
      <w:r w:rsidR="0074322A" w:rsidRPr="00B4685D">
        <w:rPr>
          <w:sz w:val="24"/>
          <w:szCs w:val="24"/>
        </w:rPr>
        <w:t xml:space="preserve"> В случай на одобрение на проекта, Декларацията за ненарушаване на чужди права върху интелектуална собственост (Приложение </w:t>
      </w:r>
      <w:r w:rsidR="00B4685D">
        <w:rPr>
          <w:sz w:val="24"/>
          <w:szCs w:val="24"/>
        </w:rPr>
        <w:t>Ж</w:t>
      </w:r>
      <w:r w:rsidR="0074322A" w:rsidRPr="00B4685D">
        <w:rPr>
          <w:sz w:val="24"/>
          <w:szCs w:val="24"/>
        </w:rPr>
        <w:t>) става</w:t>
      </w:r>
      <w:r w:rsidR="0074322A" w:rsidRPr="0074322A">
        <w:rPr>
          <w:sz w:val="24"/>
          <w:szCs w:val="24"/>
        </w:rPr>
        <w:t xml:space="preserve"> неразделна част от договора за предоставяне на безвъзмездна финансова помощ.</w:t>
      </w:r>
    </w:p>
    <w:p w:rsidR="007E4EB4" w:rsidRDefault="0074322A" w:rsidP="00D04D51">
      <w:pPr>
        <w:pBdr>
          <w:top w:val="single" w:sz="4" w:space="1" w:color="auto"/>
          <w:left w:val="single" w:sz="4" w:space="4" w:color="auto"/>
          <w:bottom w:val="single" w:sz="4" w:space="1" w:color="auto"/>
          <w:right w:val="single" w:sz="4" w:space="4" w:color="auto"/>
        </w:pBdr>
        <w:spacing w:after="120" w:line="240" w:lineRule="auto"/>
        <w:jc w:val="both"/>
        <w:rPr>
          <w:sz w:val="24"/>
          <w:szCs w:val="24"/>
          <w:lang w:val="en-US"/>
        </w:rPr>
      </w:pPr>
      <w:r w:rsidRPr="0074322A">
        <w:rPr>
          <w:sz w:val="24"/>
          <w:szCs w:val="24"/>
        </w:rPr>
        <w:t>В случай че по време на или след изпълнението на проекта възникне съдебен спор, касаещ правата върху интелектуална собственост върху продукта</w:t>
      </w:r>
      <w:r>
        <w:rPr>
          <w:sz w:val="24"/>
          <w:szCs w:val="24"/>
        </w:rPr>
        <w:t xml:space="preserve"> </w:t>
      </w:r>
      <w:r w:rsidRPr="0074322A">
        <w:rPr>
          <w:sz w:val="24"/>
          <w:szCs w:val="24"/>
        </w:rPr>
        <w:t>(стоката или услугата)/процеса, внедряван чрез проект по настоящата процедура за подбор на проекти, то всички съдебни и произтичащи от съдебния спор разходи се поемат от съответния бенефициент. В случай че съдебният спор приключи с влязло в сила съдебно решение за нарушаване на право върху интелектуална собственост от страна на бенефициента, то той е длъжен да възстанови предоставените по настоящата процедура средства със съответната законна лихва</w:t>
      </w:r>
      <w:r>
        <w:rPr>
          <w:sz w:val="24"/>
          <w:szCs w:val="24"/>
        </w:rPr>
        <w:t>.</w:t>
      </w:r>
    </w:p>
    <w:p w:rsidR="003F3C1B" w:rsidRDefault="003F3C1B" w:rsidP="00D04D51">
      <w:pPr>
        <w:pBdr>
          <w:top w:val="single" w:sz="4" w:space="1" w:color="auto"/>
          <w:left w:val="single" w:sz="4" w:space="4" w:color="auto"/>
          <w:bottom w:val="single" w:sz="4" w:space="1" w:color="auto"/>
          <w:right w:val="single" w:sz="4" w:space="4" w:color="auto"/>
        </w:pBdr>
        <w:spacing w:after="120" w:line="240" w:lineRule="auto"/>
        <w:jc w:val="both"/>
        <w:rPr>
          <w:sz w:val="24"/>
          <w:szCs w:val="24"/>
          <w:lang w:val="en-US"/>
        </w:rPr>
      </w:pPr>
    </w:p>
    <w:p w:rsidR="003F3C1B" w:rsidRDefault="003F3C1B" w:rsidP="00D04D51">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3F3C1B">
        <w:rPr>
          <w:b/>
          <w:sz w:val="24"/>
          <w:szCs w:val="24"/>
          <w:lang w:val="en-US"/>
        </w:rPr>
        <w:t xml:space="preserve">II. </w:t>
      </w:r>
      <w:r w:rsidRPr="003F3C1B">
        <w:rPr>
          <w:b/>
          <w:sz w:val="24"/>
          <w:szCs w:val="24"/>
        </w:rPr>
        <w:t>Допустими дейности:</w:t>
      </w:r>
    </w:p>
    <w:p w:rsidR="00B41C3D" w:rsidRPr="00BD3276" w:rsidRDefault="00B41C3D" w:rsidP="00B41C3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b/>
          <w:sz w:val="24"/>
          <w:szCs w:val="24"/>
        </w:rPr>
      </w:pPr>
      <w:r w:rsidRPr="00BD3276">
        <w:rPr>
          <w:b/>
          <w:sz w:val="24"/>
          <w:szCs w:val="24"/>
        </w:rPr>
        <w:t>Допустими по настоящата процедура са проекти, включващи следните дейности:</w:t>
      </w:r>
    </w:p>
    <w:p w:rsidR="00B41C3D" w:rsidRPr="00BD3276" w:rsidRDefault="00B41C3D" w:rsidP="00B41C3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b/>
          <w:sz w:val="10"/>
          <w:szCs w:val="10"/>
        </w:rPr>
      </w:pPr>
    </w:p>
    <w:p w:rsidR="00B41C3D" w:rsidRPr="005D4BE5"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5D4BE5">
        <w:rPr>
          <w:b/>
          <w:sz w:val="24"/>
          <w:szCs w:val="24"/>
        </w:rPr>
        <w:t>Елемент А „Инвестиции“</w:t>
      </w:r>
    </w:p>
    <w:p w:rsidR="00B41C3D" w:rsidRPr="003D5195" w:rsidRDefault="00B41C3D" w:rsidP="00B41C3D">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3D5195">
        <w:rPr>
          <w:sz w:val="24"/>
          <w:szCs w:val="24"/>
        </w:rPr>
        <w:t>Придобиване на ново оборудване, необходимо за внедряване в производството на</w:t>
      </w:r>
      <w:r w:rsidR="00BD230B">
        <w:rPr>
          <w:sz w:val="24"/>
          <w:szCs w:val="24"/>
        </w:rPr>
        <w:t xml:space="preserve"> иновативния</w:t>
      </w:r>
      <w:r w:rsidRPr="003D5195">
        <w:rPr>
          <w:sz w:val="24"/>
          <w:szCs w:val="24"/>
        </w:rPr>
        <w:t xml:space="preserve">  продукт</w:t>
      </w:r>
      <w:r>
        <w:rPr>
          <w:sz w:val="24"/>
          <w:szCs w:val="24"/>
        </w:rPr>
        <w:t xml:space="preserve"> (стока или услуга) или процес</w:t>
      </w:r>
      <w:r w:rsidRPr="003D5195">
        <w:rPr>
          <w:sz w:val="24"/>
          <w:szCs w:val="24"/>
        </w:rPr>
        <w:t>.</w:t>
      </w:r>
    </w:p>
    <w:p w:rsidR="00B41C3D" w:rsidRPr="003D5195" w:rsidRDefault="00B41C3D" w:rsidP="00B41C3D">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3D5195">
        <w:rPr>
          <w:sz w:val="24"/>
          <w:szCs w:val="24"/>
        </w:rPr>
        <w:t>Придобиване на права на интелектуална собственост върху иновациите, които ще бъдат подкрепяни по процедурата.</w:t>
      </w:r>
    </w:p>
    <w:p w:rsidR="00B41C3D" w:rsidRDefault="00B41C3D" w:rsidP="00B41C3D">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BD230B">
        <w:rPr>
          <w:sz w:val="24"/>
          <w:szCs w:val="24"/>
        </w:rPr>
        <w:t xml:space="preserve">Придобиване/разработване на специализиран софтуер, необходим за внедряването на  </w:t>
      </w:r>
      <w:r w:rsidR="00BD230B">
        <w:rPr>
          <w:sz w:val="24"/>
          <w:szCs w:val="24"/>
        </w:rPr>
        <w:t xml:space="preserve">иновативния </w:t>
      </w:r>
      <w:r w:rsidRPr="00BD230B">
        <w:rPr>
          <w:sz w:val="24"/>
          <w:szCs w:val="24"/>
        </w:rPr>
        <w:t>продукт (</w:t>
      </w:r>
      <w:r>
        <w:rPr>
          <w:sz w:val="24"/>
          <w:szCs w:val="24"/>
        </w:rPr>
        <w:t>стока или услуга) или</w:t>
      </w:r>
      <w:r w:rsidRPr="003D5195">
        <w:rPr>
          <w:sz w:val="24"/>
          <w:szCs w:val="24"/>
        </w:rPr>
        <w:t xml:space="preserve"> процес.</w:t>
      </w:r>
    </w:p>
    <w:p w:rsidR="00B41C3D" w:rsidRDefault="00B41C3D" w:rsidP="00B41C3D">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По Елемент А „Инвестиции“ к</w:t>
      </w:r>
      <w:r w:rsidRPr="007914FD">
        <w:rPr>
          <w:i/>
          <w:sz w:val="24"/>
          <w:szCs w:val="24"/>
        </w:rPr>
        <w:t xml:space="preserve">андидатите </w:t>
      </w:r>
      <w:r w:rsidRPr="001048A0">
        <w:rPr>
          <w:b/>
          <w:i/>
          <w:sz w:val="24"/>
          <w:szCs w:val="24"/>
        </w:rPr>
        <w:t>сами избират един измежду</w:t>
      </w:r>
      <w:r w:rsidRPr="007914FD">
        <w:rPr>
          <w:i/>
          <w:sz w:val="24"/>
          <w:szCs w:val="24"/>
        </w:rPr>
        <w:t xml:space="preserve"> приложимите режими на държавна/минимална помощ</w:t>
      </w:r>
      <w:r>
        <w:rPr>
          <w:i/>
          <w:sz w:val="24"/>
          <w:szCs w:val="24"/>
        </w:rPr>
        <w:t>,</w:t>
      </w:r>
      <w:r w:rsidRPr="007914FD">
        <w:rPr>
          <w:i/>
          <w:sz w:val="24"/>
          <w:szCs w:val="24"/>
        </w:rPr>
        <w:t xml:space="preserve"> </w:t>
      </w:r>
      <w:r w:rsidRPr="002917BC">
        <w:rPr>
          <w:i/>
          <w:sz w:val="24"/>
          <w:szCs w:val="24"/>
        </w:rPr>
        <w:t>Дейностите по настоящия Елемент могат да бъда изпълнявани по преценка на кандидата</w:t>
      </w:r>
      <w:r>
        <w:rPr>
          <w:i/>
          <w:sz w:val="24"/>
          <w:szCs w:val="24"/>
        </w:rPr>
        <w:t xml:space="preserve"> :</w:t>
      </w:r>
      <w:r w:rsidRPr="002917BC">
        <w:rPr>
          <w:i/>
          <w:sz w:val="24"/>
          <w:szCs w:val="24"/>
        </w:rPr>
        <w:t xml:space="preserve"> </w:t>
      </w:r>
    </w:p>
    <w:p w:rsidR="00B41C3D" w:rsidRDefault="00B41C3D" w:rsidP="00B41C3D">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 xml:space="preserve">- </w:t>
      </w:r>
      <w:r w:rsidRPr="002917BC">
        <w:rPr>
          <w:i/>
          <w:sz w:val="24"/>
          <w:szCs w:val="24"/>
        </w:rPr>
        <w:t xml:space="preserve">при условията и праговете за регионална инвестиционна помощ </w:t>
      </w:r>
      <w:r w:rsidRPr="007914FD">
        <w:rPr>
          <w:b/>
          <w:i/>
          <w:sz w:val="24"/>
          <w:szCs w:val="24"/>
        </w:rPr>
        <w:t xml:space="preserve">или </w:t>
      </w:r>
    </w:p>
    <w:p w:rsidR="00B41C3D" w:rsidRPr="002917BC" w:rsidRDefault="00B41C3D" w:rsidP="00B41C3D">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 xml:space="preserve">- </w:t>
      </w:r>
      <w:r w:rsidRPr="002917BC">
        <w:rPr>
          <w:i/>
          <w:sz w:val="24"/>
          <w:szCs w:val="24"/>
        </w:rPr>
        <w:t xml:space="preserve"> при условията и праговете за минимална помощ</w:t>
      </w:r>
      <w:r>
        <w:rPr>
          <w:i/>
          <w:sz w:val="24"/>
          <w:szCs w:val="24"/>
        </w:rPr>
        <w:t>.</w:t>
      </w:r>
    </w:p>
    <w:p w:rsidR="00B41C3D" w:rsidRPr="00795365" w:rsidRDefault="00B41C3D" w:rsidP="00B41C3D">
      <w:p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p>
    <w:p w:rsidR="00B41C3D" w:rsidRPr="005D4BE5"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5D4BE5">
        <w:rPr>
          <w:b/>
          <w:sz w:val="24"/>
          <w:szCs w:val="24"/>
        </w:rPr>
        <w:t>Елемент  Б „Услуги“</w:t>
      </w:r>
    </w:p>
    <w:p w:rsidR="00B41C3D" w:rsidRPr="007D47C9" w:rsidRDefault="00B41C3D" w:rsidP="00B41C3D">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jc w:val="both"/>
        <w:rPr>
          <w:sz w:val="24"/>
          <w:szCs w:val="24"/>
        </w:rPr>
      </w:pPr>
      <w:r w:rsidRPr="005D4BE5">
        <w:rPr>
          <w:sz w:val="24"/>
          <w:szCs w:val="24"/>
        </w:rPr>
        <w:t>Консултантски и помощни услуги в подкрепа на иновациите.</w:t>
      </w:r>
    </w:p>
    <w:p w:rsidR="00B41C3D" w:rsidRPr="002D79E4"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p>
    <w:p w:rsidR="00022041" w:rsidRDefault="00E922B9"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sidRPr="00022041">
        <w:rPr>
          <w:rFonts w:ascii="Calibri" w:eastAsia="Calibri" w:hAnsi="Calibri" w:cs="Times New Roman"/>
          <w:b/>
          <w:sz w:val="24"/>
          <w:szCs w:val="24"/>
        </w:rPr>
        <w:t>К</w:t>
      </w:r>
      <w:r w:rsidR="00B41C3D" w:rsidRPr="00022041">
        <w:rPr>
          <w:rFonts w:ascii="Calibri" w:eastAsia="Calibri" w:hAnsi="Calibri" w:cs="Times New Roman"/>
          <w:b/>
          <w:sz w:val="24"/>
          <w:szCs w:val="24"/>
        </w:rPr>
        <w:t>онсултантски услуги в областта на иновациите включват:</w:t>
      </w:r>
    </w:p>
    <w:p w:rsidR="00E922B9" w:rsidRPr="00022041"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sidRPr="00022041">
        <w:rPr>
          <w:rFonts w:ascii="Calibri" w:eastAsia="Calibri" w:hAnsi="Calibri" w:cs="Times New Roman"/>
          <w:b/>
          <w:sz w:val="24"/>
          <w:szCs w:val="24"/>
        </w:rPr>
        <w:t xml:space="preserve"> </w:t>
      </w:r>
    </w:p>
    <w:p w:rsidR="00FD4525" w:rsidRDefault="00FD4525"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Pr>
          <w:rFonts w:ascii="Calibri" w:eastAsia="Calibri" w:hAnsi="Calibri" w:cs="Times New Roman"/>
          <w:b/>
          <w:sz w:val="24"/>
          <w:szCs w:val="24"/>
        </w:rPr>
        <w:t xml:space="preserve">ВАЖНО: </w:t>
      </w:r>
      <w:r w:rsidRPr="00022041">
        <w:rPr>
          <w:rFonts w:ascii="Calibri" w:eastAsia="Calibri" w:hAnsi="Calibri" w:cs="Times New Roman"/>
          <w:sz w:val="24"/>
          <w:szCs w:val="24"/>
        </w:rPr>
        <w:t xml:space="preserve">Посочените примери за консултантски услуги в областта на иновации </w:t>
      </w:r>
      <w:r w:rsidR="00804971" w:rsidRPr="00022041">
        <w:rPr>
          <w:rFonts w:ascii="Calibri" w:eastAsia="Calibri" w:hAnsi="Calibri" w:cs="Times New Roman"/>
          <w:sz w:val="24"/>
          <w:szCs w:val="24"/>
        </w:rPr>
        <w:t xml:space="preserve">имат за цел да ориентират кандидатите за възможните типове услуги, като не представляват </w:t>
      </w:r>
      <w:r w:rsidR="00985762" w:rsidRPr="00022041">
        <w:rPr>
          <w:rFonts w:ascii="Calibri" w:eastAsia="Calibri" w:hAnsi="Calibri" w:cs="Times New Roman"/>
          <w:sz w:val="24"/>
          <w:szCs w:val="24"/>
        </w:rPr>
        <w:t>изчерпателен списък на допустимите консултантски услуги в областта на иновациите.</w:t>
      </w:r>
    </w:p>
    <w:p w:rsidR="00650B68" w:rsidRPr="00FD4525" w:rsidRDefault="00650B68"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p>
    <w:p w:rsidR="00E922B9" w:rsidRDefault="00E922B9"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00B41C3D" w:rsidRPr="009B6645">
        <w:rPr>
          <w:rFonts w:ascii="Calibri" w:eastAsia="Calibri" w:hAnsi="Calibri" w:cs="Times New Roman"/>
          <w:b/>
          <w:sz w:val="24"/>
          <w:szCs w:val="24"/>
        </w:rPr>
        <w:t>консултиране, подпомагане и обучение в областта на трансфера на знания</w:t>
      </w:r>
      <w:r w:rsidR="00293950">
        <w:rPr>
          <w:rFonts w:ascii="Calibri" w:eastAsia="Calibri" w:hAnsi="Calibri" w:cs="Times New Roman"/>
          <w:sz w:val="24"/>
          <w:szCs w:val="24"/>
        </w:rPr>
        <w:t xml:space="preserve">, като например: </w:t>
      </w:r>
      <w:r w:rsidR="00293950" w:rsidRPr="00293950">
        <w:rPr>
          <w:rFonts w:ascii="Calibri" w:eastAsia="Calibri" w:hAnsi="Calibri" w:cs="Times New Roman"/>
          <w:sz w:val="24"/>
          <w:szCs w:val="24"/>
        </w:rPr>
        <w:t>консултантски услуги във връзка с осъществяване на  трансфера на знания</w:t>
      </w:r>
      <w:r w:rsidR="00293950">
        <w:rPr>
          <w:rFonts w:ascii="Calibri" w:eastAsia="Calibri" w:hAnsi="Calibri" w:cs="Times New Roman"/>
          <w:sz w:val="24"/>
          <w:szCs w:val="24"/>
        </w:rPr>
        <w:t>, генериран</w:t>
      </w:r>
      <w:r w:rsidR="00293950" w:rsidRPr="00293950">
        <w:rPr>
          <w:rFonts w:ascii="Calibri" w:eastAsia="Calibri" w:hAnsi="Calibri" w:cs="Times New Roman"/>
          <w:sz w:val="24"/>
          <w:szCs w:val="24"/>
        </w:rPr>
        <w:t xml:space="preserve"> по проекта</w:t>
      </w:r>
      <w:r w:rsidR="00293950">
        <w:rPr>
          <w:rFonts w:ascii="Calibri" w:eastAsia="Calibri" w:hAnsi="Calibri" w:cs="Times New Roman"/>
          <w:sz w:val="24"/>
          <w:szCs w:val="24"/>
        </w:rPr>
        <w:t xml:space="preserve">, </w:t>
      </w:r>
      <w:r w:rsidR="00293950" w:rsidRPr="00293950">
        <w:rPr>
          <w:rFonts w:ascii="Calibri" w:eastAsia="Calibri" w:hAnsi="Calibri" w:cs="Times New Roman"/>
          <w:sz w:val="24"/>
          <w:szCs w:val="24"/>
        </w:rPr>
        <w:t>подпомагане на внедряването в производство на придобитите в рамките на проекта права по интелектуална собственост</w:t>
      </w:r>
      <w:r w:rsidR="009F502F">
        <w:rPr>
          <w:rFonts w:ascii="Calibri" w:eastAsia="Calibri" w:hAnsi="Calibri" w:cs="Times New Roman"/>
          <w:sz w:val="24"/>
          <w:szCs w:val="24"/>
        </w:rPr>
        <w:t>, обучения във връзка с осъществяване на трансфер на знания</w:t>
      </w:r>
      <w:r w:rsidR="009B6645">
        <w:rPr>
          <w:rFonts w:ascii="Calibri" w:eastAsia="Calibri" w:hAnsi="Calibri" w:cs="Times New Roman"/>
          <w:sz w:val="24"/>
          <w:szCs w:val="24"/>
        </w:rPr>
        <w:t xml:space="preserve"> и др.</w:t>
      </w:r>
      <w:r w:rsidR="00E72254">
        <w:rPr>
          <w:rFonts w:ascii="Calibri" w:eastAsia="Calibri" w:hAnsi="Calibri" w:cs="Times New Roman"/>
          <w:sz w:val="24"/>
          <w:szCs w:val="24"/>
        </w:rPr>
        <w:t>;</w:t>
      </w:r>
    </w:p>
    <w:p w:rsidR="005B1861" w:rsidRDefault="00E922B9"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Pr="00FD4525">
        <w:rPr>
          <w:rFonts w:ascii="Calibri" w:eastAsia="Calibri" w:hAnsi="Calibri" w:cs="Times New Roman"/>
          <w:b/>
          <w:sz w:val="24"/>
          <w:szCs w:val="24"/>
        </w:rPr>
        <w:t xml:space="preserve">консултиране, подпомагане и обучение в </w:t>
      </w:r>
      <w:r w:rsidR="005B1861" w:rsidRPr="00FD4525">
        <w:rPr>
          <w:rFonts w:ascii="Calibri" w:eastAsia="Calibri" w:hAnsi="Calibri" w:cs="Times New Roman"/>
          <w:b/>
          <w:sz w:val="24"/>
          <w:szCs w:val="24"/>
        </w:rPr>
        <w:t xml:space="preserve">областта на </w:t>
      </w:r>
      <w:r w:rsidR="00B41C3D" w:rsidRPr="00FD4525">
        <w:rPr>
          <w:rFonts w:ascii="Calibri" w:eastAsia="Calibri" w:hAnsi="Calibri" w:cs="Times New Roman"/>
          <w:b/>
          <w:sz w:val="24"/>
          <w:szCs w:val="24"/>
        </w:rPr>
        <w:t>придобиването, защитата и експлоатацията на нематериални активи</w:t>
      </w:r>
      <w:r w:rsidR="00B41C3D" w:rsidRPr="002D79E4">
        <w:rPr>
          <w:rFonts w:ascii="Calibri" w:eastAsia="Calibri" w:hAnsi="Calibri" w:cs="Times New Roman"/>
          <w:sz w:val="24"/>
          <w:szCs w:val="24"/>
        </w:rPr>
        <w:t xml:space="preserve">, </w:t>
      </w:r>
      <w:r w:rsidR="00985762">
        <w:rPr>
          <w:rFonts w:ascii="Calibri" w:eastAsia="Calibri" w:hAnsi="Calibri" w:cs="Times New Roman"/>
          <w:sz w:val="24"/>
          <w:szCs w:val="24"/>
        </w:rPr>
        <w:t>като например</w:t>
      </w:r>
      <w:r w:rsidR="00FD4525">
        <w:rPr>
          <w:rFonts w:ascii="Calibri" w:eastAsia="Calibri" w:hAnsi="Calibri" w:cs="Times New Roman"/>
          <w:sz w:val="24"/>
          <w:szCs w:val="24"/>
        </w:rPr>
        <w:t xml:space="preserve">: </w:t>
      </w:r>
      <w:r w:rsidR="00FD4525" w:rsidRPr="00FD4525">
        <w:rPr>
          <w:rFonts w:ascii="Calibri" w:eastAsia="Calibri" w:hAnsi="Calibri" w:cs="Times New Roman"/>
          <w:sz w:val="24"/>
          <w:szCs w:val="24"/>
        </w:rPr>
        <w:t>услуги,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Патентно ведомство или правоспособен представител по индустриална собственост; превод и други дейности, извършени 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 модел</w:t>
      </w:r>
      <w:r w:rsidR="00845650">
        <w:rPr>
          <w:rFonts w:ascii="Calibri" w:eastAsia="Calibri" w:hAnsi="Calibri" w:cs="Times New Roman"/>
          <w:sz w:val="24"/>
          <w:szCs w:val="24"/>
        </w:rPr>
        <w:t xml:space="preserve"> и др.п.</w:t>
      </w:r>
    </w:p>
    <w:p w:rsidR="00B2062E" w:rsidRDefault="00B2062E"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B2062E">
        <w:rPr>
          <w:rFonts w:ascii="Calibri" w:eastAsia="Calibri" w:hAnsi="Calibri" w:cs="Times New Roman"/>
          <w:sz w:val="24"/>
          <w:szCs w:val="24"/>
        </w:rPr>
        <w:lastRenderedPageBreak/>
        <w:t>Горепосочените дейности са допустими в случай че права по интелектуална собственост възникнат по време на изпълнение на проекта</w:t>
      </w:r>
      <w:r>
        <w:rPr>
          <w:rFonts w:ascii="Calibri" w:eastAsia="Calibri" w:hAnsi="Calibri" w:cs="Times New Roman"/>
          <w:sz w:val="24"/>
          <w:szCs w:val="24"/>
        </w:rPr>
        <w:t xml:space="preserve"> или бъдат придобити в рамките на проекта</w:t>
      </w:r>
      <w:r w:rsidRPr="00B2062E">
        <w:rPr>
          <w:rFonts w:ascii="Calibri" w:eastAsia="Calibri" w:hAnsi="Calibri" w:cs="Times New Roman"/>
          <w:sz w:val="24"/>
          <w:szCs w:val="24"/>
        </w:rPr>
        <w:t>. Допустимите консултантски и юридически услуги не включват разходи, възникнали по време на изпълнение на проекта и свързани със съдебни спорове по отношение на внедрявания иновативен продукт, процес или услуга</w:t>
      </w:r>
      <w:r w:rsidR="00E72254">
        <w:rPr>
          <w:rFonts w:ascii="Calibri" w:eastAsia="Calibri" w:hAnsi="Calibri" w:cs="Times New Roman"/>
          <w:sz w:val="24"/>
          <w:szCs w:val="24"/>
        </w:rPr>
        <w:t>;</w:t>
      </w:r>
    </w:p>
    <w:p w:rsidR="00845650" w:rsidRDefault="005B1861"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Pr="00156634">
        <w:rPr>
          <w:rFonts w:ascii="Calibri" w:eastAsia="Calibri" w:hAnsi="Calibri" w:cs="Times New Roman"/>
          <w:b/>
          <w:sz w:val="24"/>
          <w:szCs w:val="24"/>
        </w:rPr>
        <w:t xml:space="preserve">консултиране, подпомагане и обучение в областта на </w:t>
      </w:r>
      <w:r w:rsidR="00B41C3D" w:rsidRPr="00156634">
        <w:rPr>
          <w:rFonts w:ascii="Calibri" w:eastAsia="Calibri" w:hAnsi="Calibri" w:cs="Times New Roman"/>
          <w:b/>
          <w:sz w:val="24"/>
          <w:szCs w:val="24"/>
        </w:rPr>
        <w:t>използването на стандарти и на правилата, които ги уреждат</w:t>
      </w:r>
      <w:r w:rsidR="00845650">
        <w:rPr>
          <w:rFonts w:ascii="Calibri" w:eastAsia="Calibri" w:hAnsi="Calibri" w:cs="Times New Roman"/>
          <w:sz w:val="24"/>
          <w:szCs w:val="24"/>
        </w:rPr>
        <w:t>, като например</w:t>
      </w:r>
      <w:r w:rsidR="00B41C3D" w:rsidRPr="002D79E4">
        <w:rPr>
          <w:rFonts w:ascii="Calibri" w:eastAsia="Calibri" w:hAnsi="Calibri" w:cs="Times New Roman"/>
          <w:sz w:val="24"/>
          <w:szCs w:val="24"/>
        </w:rPr>
        <w:t>;</w:t>
      </w:r>
      <w:r w:rsidR="00156634" w:rsidRPr="00156634">
        <w:t xml:space="preserve"> </w:t>
      </w:r>
      <w:r w:rsidR="00156634">
        <w:t>п</w:t>
      </w:r>
      <w:r w:rsidR="00156634" w:rsidRPr="00156634">
        <w:rPr>
          <w:rFonts w:ascii="Calibri" w:eastAsia="Calibri" w:hAnsi="Calibri" w:cs="Times New Roman"/>
          <w:sz w:val="24"/>
          <w:szCs w:val="24"/>
        </w:rPr>
        <w:t>редоставяне на професионални съвети и консултации относно приложимите за иновативния продукт (стока или услуга) или процес директиви, регламенти, стандарти, включително услуги, пряко свързани с постигане на съответствие на продукти с европейски/международни стандарти</w:t>
      </w:r>
      <w:r w:rsidR="00156634">
        <w:rPr>
          <w:rFonts w:ascii="Calibri" w:eastAsia="Calibri" w:hAnsi="Calibri" w:cs="Times New Roman"/>
          <w:sz w:val="24"/>
          <w:szCs w:val="24"/>
        </w:rPr>
        <w:t xml:space="preserve"> и др.</w:t>
      </w:r>
    </w:p>
    <w:p w:rsidR="00845650" w:rsidRPr="002D79E4" w:rsidRDefault="00845650"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p>
    <w:p w:rsidR="004613DE" w:rsidRDefault="004613DE"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r w:rsidRPr="00022041">
        <w:rPr>
          <w:rFonts w:ascii="Calibri" w:eastAsia="Calibri" w:hAnsi="Calibri" w:cs="Times New Roman"/>
          <w:b/>
          <w:sz w:val="24"/>
          <w:szCs w:val="24"/>
        </w:rPr>
        <w:t>У</w:t>
      </w:r>
      <w:r w:rsidR="00B41C3D" w:rsidRPr="00022041">
        <w:rPr>
          <w:rFonts w:ascii="Calibri" w:eastAsia="Calibri" w:hAnsi="Calibri" w:cs="Times New Roman"/>
          <w:b/>
          <w:sz w:val="24"/>
          <w:szCs w:val="24"/>
        </w:rPr>
        <w:t>слуги</w:t>
      </w:r>
      <w:r w:rsidRPr="00022041">
        <w:rPr>
          <w:rFonts w:ascii="Calibri" w:eastAsia="Calibri" w:hAnsi="Calibri" w:cs="Times New Roman"/>
          <w:b/>
          <w:sz w:val="24"/>
          <w:szCs w:val="24"/>
        </w:rPr>
        <w:t>те</w:t>
      </w:r>
      <w:r w:rsidR="00B41C3D" w:rsidRPr="00022041">
        <w:rPr>
          <w:rFonts w:ascii="Calibri" w:eastAsia="Calibri" w:hAnsi="Calibri" w:cs="Times New Roman"/>
          <w:b/>
          <w:sz w:val="24"/>
          <w:szCs w:val="24"/>
        </w:rPr>
        <w:t xml:space="preserve"> в подкрепа на иновациите включват: </w:t>
      </w:r>
    </w:p>
    <w:p w:rsidR="00022041" w:rsidRPr="00022041" w:rsidRDefault="00022041"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b/>
          <w:sz w:val="24"/>
          <w:szCs w:val="24"/>
        </w:rPr>
      </w:pPr>
    </w:p>
    <w:p w:rsidR="004613DE" w:rsidRPr="00022041" w:rsidRDefault="004613DE"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b/>
          <w:sz w:val="24"/>
          <w:szCs w:val="24"/>
        </w:rPr>
        <w:t xml:space="preserve">ВАЖНО: </w:t>
      </w:r>
      <w:r w:rsidRPr="00022041">
        <w:rPr>
          <w:rFonts w:ascii="Calibri" w:eastAsia="Calibri" w:hAnsi="Calibri" w:cs="Times New Roman"/>
          <w:sz w:val="24"/>
          <w:szCs w:val="24"/>
        </w:rPr>
        <w:t>Посочените примери за услуги в подкрепа на иновациите имат за цел да ориентират кандидатите за възможните типове услуги, като не представляват изчерпателен списък на допустимите услуги в подкрепа на иновациите.</w:t>
      </w:r>
    </w:p>
    <w:p w:rsidR="004613DE" w:rsidRDefault="004613DE"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p>
    <w:p w:rsidR="004613DE" w:rsidRDefault="004613DE"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00CB7653" w:rsidRPr="00B82F70">
        <w:rPr>
          <w:rFonts w:ascii="Calibri" w:eastAsia="Calibri" w:hAnsi="Calibri" w:cs="Times New Roman"/>
          <w:b/>
          <w:sz w:val="24"/>
          <w:szCs w:val="24"/>
        </w:rPr>
        <w:t>осигуряване на</w:t>
      </w:r>
      <w:r w:rsidR="00B41C3D" w:rsidRPr="00B82F70">
        <w:rPr>
          <w:rFonts w:ascii="Calibri" w:eastAsia="Calibri" w:hAnsi="Calibri" w:cs="Times New Roman"/>
          <w:b/>
          <w:sz w:val="24"/>
          <w:szCs w:val="24"/>
        </w:rPr>
        <w:t xml:space="preserve"> бази данни,</w:t>
      </w:r>
      <w:r w:rsidR="000A19D0" w:rsidRPr="00B82F70">
        <w:rPr>
          <w:rFonts w:ascii="Calibri" w:eastAsia="Calibri" w:hAnsi="Calibri" w:cs="Times New Roman"/>
          <w:b/>
          <w:sz w:val="24"/>
          <w:szCs w:val="24"/>
        </w:rPr>
        <w:t>с цел разработване на по-ефективни продукти, процеси или услуги</w:t>
      </w:r>
      <w:r w:rsidR="00B179F4">
        <w:rPr>
          <w:rFonts w:ascii="Calibri" w:eastAsia="Calibri" w:hAnsi="Calibri" w:cs="Times New Roman"/>
          <w:sz w:val="24"/>
          <w:szCs w:val="24"/>
        </w:rPr>
        <w:t>, като например осигуряване на достъп до бази данни, които</w:t>
      </w:r>
      <w:r w:rsidR="00F470C1">
        <w:rPr>
          <w:rFonts w:ascii="Calibri" w:eastAsia="Calibri" w:hAnsi="Calibri" w:cs="Times New Roman"/>
          <w:sz w:val="24"/>
          <w:szCs w:val="24"/>
        </w:rPr>
        <w:t xml:space="preserve"> да бъдат използвани </w:t>
      </w:r>
      <w:r w:rsidR="00C25FE2">
        <w:rPr>
          <w:rFonts w:ascii="Calibri" w:eastAsia="Calibri" w:hAnsi="Calibri" w:cs="Times New Roman"/>
          <w:sz w:val="24"/>
          <w:szCs w:val="24"/>
        </w:rPr>
        <w:t>във връзка</w:t>
      </w:r>
      <w:r w:rsidR="00492DA1">
        <w:rPr>
          <w:rFonts w:ascii="Calibri" w:eastAsia="Calibri" w:hAnsi="Calibri" w:cs="Times New Roman"/>
          <w:sz w:val="24"/>
          <w:szCs w:val="24"/>
        </w:rPr>
        <w:t xml:space="preserve"> с подобряването на внедрявания</w:t>
      </w:r>
      <w:r w:rsidR="00C25FE2">
        <w:rPr>
          <w:rFonts w:ascii="Calibri" w:eastAsia="Calibri" w:hAnsi="Calibri" w:cs="Times New Roman"/>
          <w:sz w:val="24"/>
          <w:szCs w:val="24"/>
        </w:rPr>
        <w:t xml:space="preserve"> по проекта продукт (стока или услуга) </w:t>
      </w:r>
      <w:r w:rsidR="00492DA1">
        <w:rPr>
          <w:rFonts w:ascii="Calibri" w:eastAsia="Calibri" w:hAnsi="Calibri" w:cs="Times New Roman"/>
          <w:sz w:val="24"/>
          <w:szCs w:val="24"/>
        </w:rPr>
        <w:t>или процес;</w:t>
      </w:r>
    </w:p>
    <w:p w:rsidR="000A19D0" w:rsidRDefault="000A19D0"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B82F70">
        <w:rPr>
          <w:rFonts w:ascii="Calibri" w:eastAsia="Calibri" w:hAnsi="Calibri" w:cs="Times New Roman"/>
          <w:b/>
          <w:sz w:val="24"/>
          <w:szCs w:val="24"/>
        </w:rPr>
        <w:t xml:space="preserve">- осигуряване на </w:t>
      </w:r>
      <w:r w:rsidR="00B41C3D" w:rsidRPr="00B82F70">
        <w:rPr>
          <w:rFonts w:ascii="Calibri" w:eastAsia="Calibri" w:hAnsi="Calibri" w:cs="Times New Roman"/>
          <w:b/>
          <w:sz w:val="24"/>
          <w:szCs w:val="24"/>
        </w:rPr>
        <w:t>библиотеки</w:t>
      </w:r>
      <w:r w:rsidRPr="00B82F70">
        <w:rPr>
          <w:b/>
        </w:rPr>
        <w:t xml:space="preserve"> </w:t>
      </w:r>
      <w:r w:rsidRPr="00B82F70">
        <w:rPr>
          <w:rFonts w:ascii="Calibri" w:eastAsia="Calibri" w:hAnsi="Calibri" w:cs="Times New Roman"/>
          <w:b/>
          <w:sz w:val="24"/>
          <w:szCs w:val="24"/>
        </w:rPr>
        <w:t>с цел разработване на по-ефективни продукти, процеси или услуги</w:t>
      </w:r>
      <w:r w:rsidR="00B82F70">
        <w:rPr>
          <w:rFonts w:ascii="Calibri" w:eastAsia="Calibri" w:hAnsi="Calibri" w:cs="Times New Roman"/>
          <w:b/>
          <w:sz w:val="24"/>
          <w:szCs w:val="24"/>
        </w:rPr>
        <w:t>,</w:t>
      </w:r>
      <w:r>
        <w:rPr>
          <w:rFonts w:ascii="Calibri" w:eastAsia="Calibri" w:hAnsi="Calibri" w:cs="Times New Roman"/>
          <w:sz w:val="24"/>
          <w:szCs w:val="24"/>
        </w:rPr>
        <w:t xml:space="preserve"> </w:t>
      </w:r>
      <w:r w:rsidR="00492DA1" w:rsidRPr="00492DA1">
        <w:rPr>
          <w:rFonts w:ascii="Calibri" w:eastAsia="Calibri" w:hAnsi="Calibri" w:cs="Times New Roman"/>
          <w:sz w:val="24"/>
          <w:szCs w:val="24"/>
        </w:rPr>
        <w:t>като например оси</w:t>
      </w:r>
      <w:r w:rsidR="00492DA1">
        <w:rPr>
          <w:rFonts w:ascii="Calibri" w:eastAsia="Calibri" w:hAnsi="Calibri" w:cs="Times New Roman"/>
          <w:sz w:val="24"/>
          <w:szCs w:val="24"/>
        </w:rPr>
        <w:t>гуряване на достъп до библиотеки</w:t>
      </w:r>
      <w:r w:rsidR="00492DA1" w:rsidRPr="00492DA1">
        <w:rPr>
          <w:rFonts w:ascii="Calibri" w:eastAsia="Calibri" w:hAnsi="Calibri" w:cs="Times New Roman"/>
          <w:sz w:val="24"/>
          <w:szCs w:val="24"/>
        </w:rPr>
        <w:t>, които да бъдат използвани във връзка с подобряването на внедрявания по проекта продукт (стока или услуга) или процес</w:t>
      </w:r>
      <w:r w:rsidR="000450B6">
        <w:rPr>
          <w:rFonts w:ascii="Calibri" w:eastAsia="Calibri" w:hAnsi="Calibri" w:cs="Times New Roman"/>
          <w:sz w:val="24"/>
          <w:szCs w:val="24"/>
        </w:rPr>
        <w:t>;</w:t>
      </w:r>
      <w:r w:rsidR="00B41C3D" w:rsidRPr="002D79E4">
        <w:rPr>
          <w:rFonts w:ascii="Calibri" w:eastAsia="Calibri" w:hAnsi="Calibri" w:cs="Times New Roman"/>
          <w:sz w:val="24"/>
          <w:szCs w:val="24"/>
        </w:rPr>
        <w:t xml:space="preserve"> </w:t>
      </w:r>
    </w:p>
    <w:p w:rsidR="00615AB5" w:rsidRDefault="00615AB5"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615AB5">
        <w:rPr>
          <w:rFonts w:ascii="Calibri" w:eastAsia="Calibri" w:hAnsi="Calibri" w:cs="Times New Roman"/>
          <w:b/>
          <w:sz w:val="24"/>
          <w:szCs w:val="24"/>
        </w:rPr>
        <w:t>ВАЖНО</w:t>
      </w:r>
      <w:r>
        <w:rPr>
          <w:rFonts w:ascii="Calibri" w:eastAsia="Calibri" w:hAnsi="Calibri" w:cs="Times New Roman"/>
          <w:sz w:val="24"/>
          <w:szCs w:val="24"/>
        </w:rPr>
        <w:t>: Дейностите</w:t>
      </w:r>
      <w:r w:rsidRPr="00615AB5">
        <w:rPr>
          <w:rFonts w:ascii="Calibri" w:eastAsia="Calibri" w:hAnsi="Calibri" w:cs="Times New Roman"/>
          <w:sz w:val="24"/>
          <w:szCs w:val="24"/>
        </w:rPr>
        <w:t xml:space="preserve"> за осигуряван</w:t>
      </w:r>
      <w:r>
        <w:rPr>
          <w:rFonts w:ascii="Calibri" w:eastAsia="Calibri" w:hAnsi="Calibri" w:cs="Times New Roman"/>
          <w:sz w:val="24"/>
          <w:szCs w:val="24"/>
        </w:rPr>
        <w:t>е на</w:t>
      </w:r>
      <w:r w:rsidRPr="00615AB5">
        <w:rPr>
          <w:rFonts w:ascii="Calibri" w:eastAsia="Calibri" w:hAnsi="Calibri" w:cs="Times New Roman"/>
          <w:sz w:val="24"/>
          <w:szCs w:val="24"/>
        </w:rPr>
        <w:t xml:space="preserve"> бази данни и библиотеки са допустими само за периода на изпълнение  на проекта</w:t>
      </w:r>
      <w:r>
        <w:rPr>
          <w:rFonts w:ascii="Calibri" w:eastAsia="Calibri" w:hAnsi="Calibri" w:cs="Times New Roman"/>
          <w:sz w:val="24"/>
          <w:szCs w:val="24"/>
        </w:rPr>
        <w:t>.</w:t>
      </w:r>
    </w:p>
    <w:p w:rsidR="003A6796" w:rsidRDefault="003A6796"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4E11FB">
        <w:rPr>
          <w:rFonts w:ascii="Calibri" w:eastAsia="Calibri" w:hAnsi="Calibri" w:cs="Times New Roman"/>
          <w:b/>
          <w:sz w:val="24"/>
          <w:szCs w:val="24"/>
          <w:lang w:val="en-US"/>
        </w:rPr>
        <w:t xml:space="preserve">- </w:t>
      </w:r>
      <w:proofErr w:type="gramStart"/>
      <w:r w:rsidRPr="004E11FB">
        <w:rPr>
          <w:rFonts w:ascii="Calibri" w:eastAsia="Calibri" w:hAnsi="Calibri" w:cs="Times New Roman"/>
          <w:b/>
          <w:sz w:val="24"/>
          <w:szCs w:val="24"/>
        </w:rPr>
        <w:t>осигуряване</w:t>
      </w:r>
      <w:proofErr w:type="gramEnd"/>
      <w:r w:rsidRPr="004E11FB">
        <w:rPr>
          <w:rFonts w:ascii="Calibri" w:eastAsia="Calibri" w:hAnsi="Calibri" w:cs="Times New Roman"/>
          <w:b/>
          <w:sz w:val="24"/>
          <w:szCs w:val="24"/>
        </w:rPr>
        <w:t xml:space="preserve"> на </w:t>
      </w:r>
      <w:r w:rsidR="00B41C3D" w:rsidRPr="004E11FB">
        <w:rPr>
          <w:rFonts w:ascii="Calibri" w:eastAsia="Calibri" w:hAnsi="Calibri" w:cs="Times New Roman"/>
          <w:b/>
          <w:sz w:val="24"/>
          <w:szCs w:val="24"/>
        </w:rPr>
        <w:t>пазарни проучвания</w:t>
      </w:r>
      <w:r w:rsidRPr="004E11FB">
        <w:rPr>
          <w:b/>
        </w:rPr>
        <w:t xml:space="preserve"> </w:t>
      </w:r>
      <w:r w:rsidRPr="004E11FB">
        <w:rPr>
          <w:rFonts w:ascii="Calibri" w:eastAsia="Calibri" w:hAnsi="Calibri" w:cs="Times New Roman"/>
          <w:b/>
          <w:sz w:val="24"/>
          <w:szCs w:val="24"/>
        </w:rPr>
        <w:t>с цел</w:t>
      </w:r>
      <w:r w:rsidRPr="00B82F70">
        <w:rPr>
          <w:rFonts w:ascii="Calibri" w:eastAsia="Calibri" w:hAnsi="Calibri" w:cs="Times New Roman"/>
          <w:b/>
          <w:sz w:val="24"/>
          <w:szCs w:val="24"/>
        </w:rPr>
        <w:t xml:space="preserve"> разработване на по-ефективни продукти, процеси или услуги</w:t>
      </w:r>
      <w:r w:rsidR="00911676">
        <w:rPr>
          <w:rFonts w:ascii="Calibri" w:eastAsia="Calibri" w:hAnsi="Calibri" w:cs="Times New Roman"/>
          <w:sz w:val="24"/>
          <w:szCs w:val="24"/>
        </w:rPr>
        <w:t xml:space="preserve">, като например услуги за провеждане на пазарни анализи и проучвания на пазара, които да допринесат за успешната пазарна реализация на </w:t>
      </w:r>
      <w:r w:rsidR="000450B6">
        <w:rPr>
          <w:rFonts w:ascii="Calibri" w:eastAsia="Calibri" w:hAnsi="Calibri" w:cs="Times New Roman"/>
          <w:sz w:val="24"/>
          <w:szCs w:val="24"/>
        </w:rPr>
        <w:t>внедряваната по проекта иновация;</w:t>
      </w:r>
      <w:r>
        <w:rPr>
          <w:rFonts w:ascii="Calibri" w:eastAsia="Calibri" w:hAnsi="Calibri" w:cs="Times New Roman"/>
          <w:sz w:val="24"/>
          <w:szCs w:val="24"/>
        </w:rPr>
        <w:t xml:space="preserve"> </w:t>
      </w:r>
    </w:p>
    <w:p w:rsidR="003A6796" w:rsidRDefault="003A6796"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AB12DC">
        <w:rPr>
          <w:rFonts w:ascii="Calibri" w:eastAsia="Calibri" w:hAnsi="Calibri" w:cs="Times New Roman"/>
          <w:b/>
          <w:sz w:val="24"/>
          <w:szCs w:val="24"/>
        </w:rPr>
        <w:t xml:space="preserve">- осигуряване на </w:t>
      </w:r>
      <w:r w:rsidR="00B41C3D" w:rsidRPr="00AB12DC">
        <w:rPr>
          <w:rFonts w:ascii="Calibri" w:eastAsia="Calibri" w:hAnsi="Calibri" w:cs="Times New Roman"/>
          <w:b/>
          <w:sz w:val="24"/>
          <w:szCs w:val="24"/>
        </w:rPr>
        <w:t xml:space="preserve"> лаборатории</w:t>
      </w:r>
      <w:r w:rsidR="00B41C3D" w:rsidRPr="00AB12DC">
        <w:rPr>
          <w:rStyle w:val="FootnoteReference"/>
          <w:rFonts w:ascii="Calibri" w:eastAsia="Calibri" w:hAnsi="Calibri" w:cs="Times New Roman"/>
          <w:b/>
          <w:sz w:val="24"/>
          <w:szCs w:val="24"/>
        </w:rPr>
        <w:footnoteReference w:id="12"/>
      </w:r>
      <w:r w:rsidRPr="00AB12DC">
        <w:rPr>
          <w:rFonts w:ascii="Calibri" w:eastAsia="Calibri" w:hAnsi="Calibri" w:cs="Times New Roman"/>
          <w:b/>
          <w:sz w:val="24"/>
          <w:szCs w:val="24"/>
        </w:rPr>
        <w:t xml:space="preserve"> с цел разработване на по-ефективни продукти, процеси или услуги</w:t>
      </w:r>
      <w:r w:rsidR="000450B6">
        <w:rPr>
          <w:rFonts w:ascii="Calibri" w:eastAsia="Calibri" w:hAnsi="Calibri" w:cs="Times New Roman"/>
          <w:sz w:val="24"/>
          <w:szCs w:val="24"/>
        </w:rPr>
        <w:t>, като например</w:t>
      </w:r>
      <w:r w:rsidR="000450B6">
        <w:t xml:space="preserve"> </w:t>
      </w:r>
      <w:r w:rsidR="00642451" w:rsidRPr="00642451">
        <w:rPr>
          <w:rFonts w:ascii="Calibri" w:eastAsia="Calibri" w:hAnsi="Calibri" w:cs="Times New Roman"/>
          <w:sz w:val="24"/>
          <w:szCs w:val="24"/>
        </w:rPr>
        <w:t>услуги за провеждане на изследвания, измервания и изпитвания</w:t>
      </w:r>
      <w:r w:rsidR="000450B6">
        <w:rPr>
          <w:rFonts w:ascii="Calibri" w:eastAsia="Calibri" w:hAnsi="Calibri" w:cs="Times New Roman"/>
          <w:sz w:val="24"/>
          <w:szCs w:val="24"/>
        </w:rPr>
        <w:t xml:space="preserve"> </w:t>
      </w:r>
      <w:r w:rsidR="00CA2639">
        <w:rPr>
          <w:rFonts w:ascii="Calibri" w:eastAsia="Calibri" w:hAnsi="Calibri" w:cs="Times New Roman"/>
          <w:sz w:val="24"/>
          <w:szCs w:val="24"/>
        </w:rPr>
        <w:t>и др.;</w:t>
      </w:r>
    </w:p>
    <w:p w:rsidR="003A6796" w:rsidRDefault="003A6796"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AB12DC">
        <w:rPr>
          <w:rFonts w:ascii="Calibri" w:eastAsia="Calibri" w:hAnsi="Calibri" w:cs="Times New Roman"/>
          <w:b/>
          <w:sz w:val="24"/>
          <w:szCs w:val="24"/>
        </w:rPr>
        <w:t xml:space="preserve">- осигуряване на </w:t>
      </w:r>
      <w:r w:rsidR="00B41C3D" w:rsidRPr="00AB12DC">
        <w:rPr>
          <w:rFonts w:ascii="Calibri" w:eastAsia="Calibri" w:hAnsi="Calibri" w:cs="Times New Roman"/>
          <w:b/>
          <w:sz w:val="24"/>
          <w:szCs w:val="24"/>
        </w:rPr>
        <w:t>етикети за качество</w:t>
      </w:r>
      <w:r w:rsidRPr="00AB12DC">
        <w:rPr>
          <w:rFonts w:ascii="Calibri" w:eastAsia="Calibri" w:hAnsi="Calibri" w:cs="Times New Roman"/>
          <w:b/>
          <w:sz w:val="24"/>
          <w:szCs w:val="24"/>
        </w:rPr>
        <w:t xml:space="preserve"> с цел разработване на по-ефективни продукти, процеси или услуги</w:t>
      </w:r>
      <w:r w:rsidR="00CA2639">
        <w:rPr>
          <w:rFonts w:ascii="Calibri" w:eastAsia="Calibri" w:hAnsi="Calibri" w:cs="Times New Roman"/>
          <w:sz w:val="24"/>
          <w:szCs w:val="24"/>
        </w:rPr>
        <w:t>, като например услуги за придобиване на етикети за качество за внедряваната по проекта иновация;</w:t>
      </w:r>
      <w:r w:rsidR="00B41C3D" w:rsidRPr="002D79E4">
        <w:rPr>
          <w:rFonts w:ascii="Calibri" w:eastAsia="Calibri" w:hAnsi="Calibri" w:cs="Times New Roman"/>
          <w:sz w:val="24"/>
          <w:szCs w:val="24"/>
        </w:rPr>
        <w:t xml:space="preserve">, </w:t>
      </w:r>
    </w:p>
    <w:p w:rsidR="00B41C3D" w:rsidRDefault="003A6796"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AB12DC">
        <w:rPr>
          <w:rFonts w:ascii="Calibri" w:eastAsia="Calibri" w:hAnsi="Calibri" w:cs="Times New Roman"/>
          <w:b/>
          <w:sz w:val="24"/>
          <w:szCs w:val="24"/>
        </w:rPr>
        <w:t xml:space="preserve">- </w:t>
      </w:r>
      <w:r w:rsidR="00B41C3D" w:rsidRPr="00AB12DC">
        <w:rPr>
          <w:rFonts w:ascii="Calibri" w:eastAsia="Calibri" w:hAnsi="Calibri" w:cs="Times New Roman"/>
          <w:b/>
          <w:sz w:val="24"/>
          <w:szCs w:val="24"/>
        </w:rPr>
        <w:t>изпитване и сертифициране с цел разработване на по-ефективни продукти, процеси или услуги</w:t>
      </w:r>
      <w:r w:rsidR="00582011">
        <w:rPr>
          <w:rFonts w:ascii="Calibri" w:eastAsia="Calibri" w:hAnsi="Calibri" w:cs="Times New Roman"/>
          <w:sz w:val="24"/>
          <w:szCs w:val="24"/>
        </w:rPr>
        <w:t>, като например</w:t>
      </w:r>
      <w:r w:rsidR="00582011" w:rsidRPr="00582011">
        <w:t xml:space="preserve"> </w:t>
      </w:r>
      <w:r w:rsidR="00582011" w:rsidRPr="00582011">
        <w:rPr>
          <w:rFonts w:ascii="Calibri" w:eastAsia="Calibri" w:hAnsi="Calibri" w:cs="Times New Roman"/>
          <w:sz w:val="24"/>
          <w:szCs w:val="24"/>
        </w:rPr>
        <w:t>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 стандарти</w:t>
      </w:r>
      <w:r w:rsidR="0006540B">
        <w:rPr>
          <w:rFonts w:ascii="Calibri" w:eastAsia="Calibri" w:hAnsi="Calibri" w:cs="Times New Roman"/>
          <w:sz w:val="24"/>
          <w:szCs w:val="24"/>
        </w:rPr>
        <w:t xml:space="preserve"> и др.</w:t>
      </w:r>
      <w:r w:rsidR="00582011">
        <w:rPr>
          <w:rFonts w:ascii="Calibri" w:eastAsia="Calibri" w:hAnsi="Calibri" w:cs="Times New Roman"/>
          <w:sz w:val="24"/>
          <w:szCs w:val="24"/>
        </w:rPr>
        <w:t xml:space="preserve"> </w:t>
      </w:r>
    </w:p>
    <w:p w:rsidR="00650B68" w:rsidRDefault="00650B68"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p>
    <w:p w:rsidR="00B41C3D" w:rsidRPr="001048A0"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sz w:val="24"/>
          <w:szCs w:val="24"/>
        </w:rPr>
      </w:pPr>
      <w:r>
        <w:rPr>
          <w:rFonts w:ascii="Calibri" w:eastAsia="Calibri" w:hAnsi="Calibri" w:cs="Times New Roman"/>
          <w:i/>
          <w:sz w:val="24"/>
          <w:szCs w:val="24"/>
        </w:rPr>
        <w:lastRenderedPageBreak/>
        <w:t xml:space="preserve">Приложимият режим на държавна/минимална помощ по Елемент Б „Услуги“ </w:t>
      </w:r>
      <w:r w:rsidRPr="009B23C9">
        <w:rPr>
          <w:rFonts w:ascii="Calibri" w:eastAsia="Calibri" w:hAnsi="Calibri" w:cs="Times New Roman"/>
          <w:b/>
          <w:i/>
          <w:sz w:val="24"/>
          <w:szCs w:val="24"/>
        </w:rPr>
        <w:t xml:space="preserve">се определя спрямо категорията </w:t>
      </w:r>
      <w:r>
        <w:rPr>
          <w:rFonts w:ascii="Calibri" w:eastAsia="Calibri" w:hAnsi="Calibri" w:cs="Times New Roman"/>
          <w:i/>
          <w:sz w:val="24"/>
          <w:szCs w:val="24"/>
        </w:rPr>
        <w:t>на предприятието-кандидат.</w:t>
      </w:r>
    </w:p>
    <w:p w:rsidR="00B41C3D"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sz w:val="24"/>
          <w:szCs w:val="24"/>
        </w:rPr>
      </w:pPr>
      <w:r w:rsidRPr="002D79E4">
        <w:rPr>
          <w:rFonts w:ascii="Calibri" w:eastAsia="Calibri" w:hAnsi="Calibri" w:cs="Times New Roman"/>
          <w:i/>
          <w:sz w:val="24"/>
          <w:szCs w:val="24"/>
        </w:rPr>
        <w:t>Дейностите по настоящия Елемент следва да се изпълняват при условията и праговете за</w:t>
      </w:r>
      <w:r w:rsidRPr="002D79E4">
        <w:rPr>
          <w:rFonts w:ascii="Calibri" w:eastAsia="Calibri" w:hAnsi="Calibri" w:cs="Times New Roman"/>
        </w:rPr>
        <w:t xml:space="preserve"> </w:t>
      </w:r>
      <w:r w:rsidRPr="002D79E4">
        <w:rPr>
          <w:rFonts w:ascii="Calibri" w:eastAsia="Calibri" w:hAnsi="Calibri" w:cs="Times New Roman"/>
          <w:i/>
          <w:sz w:val="24"/>
          <w:szCs w:val="24"/>
        </w:rPr>
        <w:t xml:space="preserve">консултантски и помощни услуги за иновации в полза на МСП по чл. 28, </w:t>
      </w:r>
      <w:proofErr w:type="spellStart"/>
      <w:r w:rsidRPr="002D79E4">
        <w:rPr>
          <w:rFonts w:ascii="Calibri" w:eastAsia="Calibri" w:hAnsi="Calibri" w:cs="Times New Roman"/>
          <w:i/>
          <w:sz w:val="24"/>
          <w:szCs w:val="24"/>
        </w:rPr>
        <w:t>пар</w:t>
      </w:r>
      <w:proofErr w:type="spellEnd"/>
      <w:r w:rsidRPr="002D79E4">
        <w:rPr>
          <w:rFonts w:ascii="Calibri" w:eastAsia="Calibri" w:hAnsi="Calibri" w:cs="Times New Roman"/>
          <w:i/>
          <w:sz w:val="24"/>
          <w:szCs w:val="24"/>
        </w:rPr>
        <w:t xml:space="preserve">. 4 от Регламент (ЕС) № 651/2014, в случаите когато кандидатът </w:t>
      </w:r>
      <w:r w:rsidRPr="00541148">
        <w:rPr>
          <w:rFonts w:ascii="Calibri" w:eastAsia="Calibri" w:hAnsi="Calibri" w:cs="Times New Roman"/>
          <w:b/>
          <w:i/>
          <w:sz w:val="24"/>
          <w:szCs w:val="24"/>
        </w:rPr>
        <w:t>е микро, малко или средно предприятие</w:t>
      </w:r>
      <w:r>
        <w:rPr>
          <w:rFonts w:ascii="Calibri" w:eastAsia="Calibri" w:hAnsi="Calibri" w:cs="Times New Roman"/>
          <w:i/>
          <w:sz w:val="24"/>
          <w:szCs w:val="24"/>
          <w:lang w:val="en-US"/>
        </w:rPr>
        <w:t>.</w:t>
      </w:r>
      <w:r w:rsidRPr="002D79E4">
        <w:rPr>
          <w:rFonts w:ascii="Calibri" w:eastAsia="Calibri" w:hAnsi="Calibri" w:cs="Times New Roman"/>
          <w:i/>
          <w:sz w:val="24"/>
          <w:szCs w:val="24"/>
        </w:rPr>
        <w:t xml:space="preserve"> </w:t>
      </w:r>
    </w:p>
    <w:p w:rsidR="00B41C3D" w:rsidRPr="00541148"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sz w:val="24"/>
          <w:szCs w:val="24"/>
          <w:lang w:val="en-US"/>
        </w:rPr>
      </w:pPr>
      <w:r w:rsidRPr="00541148">
        <w:rPr>
          <w:rFonts w:ascii="Calibri" w:eastAsia="Calibri" w:hAnsi="Calibri" w:cs="Times New Roman"/>
          <w:i/>
          <w:sz w:val="24"/>
          <w:szCs w:val="24"/>
        </w:rPr>
        <w:t xml:space="preserve">Дейностите по настоящия Елемент следва да се изпълняват </w:t>
      </w:r>
      <w:r w:rsidRPr="002D79E4">
        <w:rPr>
          <w:rFonts w:ascii="Calibri" w:eastAsia="Calibri" w:hAnsi="Calibri" w:cs="Times New Roman"/>
          <w:i/>
          <w:sz w:val="24"/>
          <w:szCs w:val="24"/>
        </w:rPr>
        <w:t xml:space="preserve">при условията и праговете за минимална помощ, в случаите когато кандидатът е </w:t>
      </w:r>
      <w:r w:rsidRPr="00541148">
        <w:rPr>
          <w:rFonts w:ascii="Calibri" w:eastAsia="Calibri" w:hAnsi="Calibri" w:cs="Times New Roman"/>
          <w:b/>
          <w:i/>
          <w:sz w:val="24"/>
          <w:szCs w:val="24"/>
        </w:rPr>
        <w:t>голямо предприятие</w:t>
      </w:r>
      <w:r w:rsidRPr="002D79E4">
        <w:rPr>
          <w:rFonts w:ascii="Calibri" w:eastAsia="Calibri" w:hAnsi="Calibri" w:cs="Times New Roman"/>
          <w:i/>
          <w:sz w:val="24"/>
          <w:szCs w:val="24"/>
        </w:rPr>
        <w:t>.</w:t>
      </w:r>
    </w:p>
    <w:p w:rsidR="00B41C3D"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p>
    <w:p w:rsidR="00B41C3D"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b/>
          <w:sz w:val="24"/>
          <w:szCs w:val="24"/>
        </w:rPr>
        <w:t xml:space="preserve">ВАЖНО: </w:t>
      </w:r>
      <w:r w:rsidRPr="007B24DD">
        <w:rPr>
          <w:sz w:val="24"/>
          <w:szCs w:val="24"/>
        </w:rPr>
        <w:t xml:space="preserve">Кандидатите за безвъзмездна финансова помощ могат да представят проектни предложения, включващи комбинация от двата елемента, като </w:t>
      </w:r>
      <w:r>
        <w:rPr>
          <w:b/>
          <w:sz w:val="24"/>
          <w:szCs w:val="24"/>
        </w:rPr>
        <w:t>Е</w:t>
      </w:r>
      <w:r w:rsidRPr="00D73462">
        <w:rPr>
          <w:b/>
          <w:sz w:val="24"/>
          <w:szCs w:val="24"/>
        </w:rPr>
        <w:t>лемент</w:t>
      </w:r>
      <w:r>
        <w:rPr>
          <w:b/>
          <w:sz w:val="24"/>
          <w:szCs w:val="24"/>
        </w:rPr>
        <w:t xml:space="preserve"> А</w:t>
      </w:r>
      <w:r w:rsidRPr="00D73462">
        <w:rPr>
          <w:b/>
          <w:sz w:val="24"/>
          <w:szCs w:val="24"/>
        </w:rPr>
        <w:t xml:space="preserve"> „Инвестиции” е задължителен.</w:t>
      </w:r>
      <w:r>
        <w:rPr>
          <w:sz w:val="24"/>
          <w:szCs w:val="24"/>
        </w:rPr>
        <w:t xml:space="preserve"> </w:t>
      </w:r>
      <w:r w:rsidRPr="007B24DD">
        <w:rPr>
          <w:sz w:val="24"/>
          <w:szCs w:val="24"/>
        </w:rPr>
        <w:t>Включването САМО на дейности по Елемент</w:t>
      </w:r>
      <w:r>
        <w:rPr>
          <w:sz w:val="24"/>
          <w:szCs w:val="24"/>
        </w:rPr>
        <w:t xml:space="preserve"> Б</w:t>
      </w:r>
      <w:r w:rsidRPr="007B24DD">
        <w:rPr>
          <w:sz w:val="24"/>
          <w:szCs w:val="24"/>
        </w:rPr>
        <w:t xml:space="preserve"> „Услуги” е НЕДОПУСТИМО по настоящата процедура</w:t>
      </w:r>
      <w:r>
        <w:rPr>
          <w:sz w:val="24"/>
          <w:szCs w:val="24"/>
        </w:rPr>
        <w:t>.</w:t>
      </w:r>
    </w:p>
    <w:p w:rsidR="00B41C3D" w:rsidRPr="00BD3276"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B41C3D" w:rsidRPr="00BD3276" w:rsidRDefault="00B41C3D" w:rsidP="00B41C3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b/>
          <w:sz w:val="24"/>
          <w:szCs w:val="24"/>
        </w:rPr>
        <w:t xml:space="preserve">ВАЖНО: </w:t>
      </w:r>
      <w:r w:rsidRPr="00BD3276">
        <w:rPr>
          <w:sz w:val="24"/>
          <w:szCs w:val="24"/>
        </w:rPr>
        <w:t>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rsidR="00B41C3D" w:rsidRPr="00BD3276" w:rsidRDefault="00B41C3D" w:rsidP="00B41C3D">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67234D">
        <w:rPr>
          <w:sz w:val="24"/>
          <w:szCs w:val="24"/>
        </w:rPr>
        <w:t xml:space="preserve">Посочените дейности следва да са в </w:t>
      </w:r>
      <w:r w:rsidRPr="00CF461F">
        <w:rPr>
          <w:sz w:val="24"/>
          <w:szCs w:val="24"/>
        </w:rPr>
        <w:t>съответствие с поне една от</w:t>
      </w:r>
      <w:r w:rsidRPr="0067234D">
        <w:rPr>
          <w:sz w:val="24"/>
          <w:szCs w:val="24"/>
        </w:rPr>
        <w:t xml:space="preserve"> хоризонталните политики на ЕС, посочени в т. 17 от Насоките за кандидатстване. Съответствието с посочените хоризонтални политики ще бъде проследявано</w:t>
      </w:r>
      <w:r>
        <w:rPr>
          <w:sz w:val="24"/>
          <w:szCs w:val="24"/>
        </w:rPr>
        <w:t xml:space="preserve"> както на етап оценка на проектните предложения, така и</w:t>
      </w:r>
      <w:r w:rsidRPr="0067234D">
        <w:rPr>
          <w:sz w:val="24"/>
          <w:szCs w:val="24"/>
        </w:rPr>
        <w:t xml:space="preserve"> на етап изпълнение на проектите.</w:t>
      </w:r>
    </w:p>
    <w:p w:rsidR="00B41C3D"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b/>
          <w:sz w:val="24"/>
          <w:szCs w:val="24"/>
        </w:rPr>
        <w:t>ВАЖНО:</w:t>
      </w:r>
      <w:r w:rsidRPr="00BD3276">
        <w:rPr>
          <w:sz w:val="24"/>
          <w:szCs w:val="24"/>
        </w:rPr>
        <w:t xml:space="preserve">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B41C3D" w:rsidRPr="00177CE4" w:rsidRDefault="00B41C3D" w:rsidP="00B41C3D">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3F3C1B" w:rsidRPr="003F3C1B" w:rsidRDefault="00B41C3D" w:rsidP="00B41C3D">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5778C3">
        <w:rPr>
          <w:b/>
          <w:sz w:val="24"/>
          <w:szCs w:val="24"/>
        </w:rPr>
        <w:t xml:space="preserve">ВАЖНО: </w:t>
      </w:r>
      <w:r w:rsidRPr="005778C3">
        <w:rPr>
          <w:sz w:val="24"/>
          <w:szCs w:val="24"/>
        </w:rPr>
        <w:t>В случай че кандидатът предвижда придобиване на правата на интелектуална собственост върху предложената за внедряване иновация в рамките на проекта, при подаването на проектното предложение е необходимо да бъде предоставен сключен договор за прехвърляне на права по интелектуална собственост, удостоверяващ, че за внедряването на определен продукт(стока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 Придобиването на правата по интелектуална собственост в рамките на срока на изпълнение на проекта е изрично условие за признаване допустимостта на всички разходи, свързани с изпълнението на проекта. В случай че кандидатът не придобие правата по интелектуална собственост в рамките на срока за изпълнение на проекта съгласно договора за предоставяне на безвъзмездна финансова помощ, бенефициентът следва да възстанови предоставените му от Договарящия орган средства със съответната законова лихва</w:t>
      </w:r>
      <w:r w:rsidR="00C83369" w:rsidRPr="005778C3">
        <w:rPr>
          <w:sz w:val="24"/>
          <w:szCs w:val="24"/>
        </w:rPr>
        <w:t>.</w:t>
      </w:r>
    </w:p>
    <w:p w:rsidR="00464FCC" w:rsidRPr="00BD3276" w:rsidRDefault="00464FCC" w:rsidP="00652D44">
      <w:pPr>
        <w:pStyle w:val="Heading3"/>
        <w:spacing w:before="360" w:after="120"/>
        <w:rPr>
          <w:sz w:val="24"/>
          <w:szCs w:val="24"/>
        </w:rPr>
      </w:pPr>
      <w:bookmarkStart w:id="18" w:name="_Toc418791449"/>
      <w:r w:rsidRPr="00BD3276">
        <w:rPr>
          <w:sz w:val="24"/>
          <w:szCs w:val="24"/>
        </w:rPr>
        <w:lastRenderedPageBreak/>
        <w:t>13.2. Недопустими дейности</w:t>
      </w:r>
      <w:bookmarkEnd w:id="18"/>
    </w:p>
    <w:p w:rsidR="00F909CF" w:rsidRPr="00BD3276" w:rsidRDefault="00F909CF"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Недопустими по процедур</w:t>
      </w:r>
      <w:r w:rsidR="006148AF" w:rsidRPr="00BD3276">
        <w:rPr>
          <w:sz w:val="24"/>
          <w:szCs w:val="24"/>
        </w:rPr>
        <w:t>ата са следните видове дейности</w:t>
      </w:r>
      <w:r w:rsidRPr="00BD3276">
        <w:rPr>
          <w:sz w:val="24"/>
          <w:szCs w:val="24"/>
        </w:rPr>
        <w:t xml:space="preserve">: </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дейности, чието изпълнение е стартирало</w:t>
      </w:r>
      <w:r w:rsidR="00F7425C" w:rsidRPr="00862AF1">
        <w:rPr>
          <w:rStyle w:val="FootnoteReference"/>
          <w:sz w:val="24"/>
          <w:szCs w:val="24"/>
        </w:rPr>
        <w:footnoteReference w:id="13"/>
      </w:r>
      <w:r w:rsidR="00F909CF" w:rsidRPr="00862AF1">
        <w:rPr>
          <w:sz w:val="24"/>
          <w:szCs w:val="24"/>
        </w:rPr>
        <w:t xml:space="preserve"> преди </w:t>
      </w:r>
      <w:r w:rsidR="00BD4C0E" w:rsidRPr="00862AF1">
        <w:rPr>
          <w:sz w:val="24"/>
          <w:szCs w:val="24"/>
        </w:rPr>
        <w:t>подаване на проектното предложение</w:t>
      </w:r>
      <w:r w:rsidR="00DD7A89" w:rsidRPr="00862AF1">
        <w:rPr>
          <w:sz w:val="24"/>
          <w:szCs w:val="24"/>
        </w:rPr>
        <w:t xml:space="preserve"> – с изкл</w:t>
      </w:r>
      <w:r w:rsidR="00DF2ECD" w:rsidRPr="00862AF1">
        <w:rPr>
          <w:sz w:val="24"/>
          <w:szCs w:val="24"/>
        </w:rPr>
        <w:t xml:space="preserve">ючение на </w:t>
      </w:r>
      <w:r w:rsidR="0067149B" w:rsidRPr="00862AF1">
        <w:rPr>
          <w:sz w:val="24"/>
          <w:szCs w:val="24"/>
        </w:rPr>
        <w:t xml:space="preserve"> предоставен сключен договор за прехвърляне на права по интелектуална собственост, удостоверяващ, че за внедряването на определен продукт(стока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w:t>
      </w:r>
      <w:r w:rsidR="000C7F2B">
        <w:rPr>
          <w:sz w:val="24"/>
          <w:szCs w:val="24"/>
        </w:rPr>
        <w:t>.</w:t>
      </w:r>
      <w:r w:rsidR="009E0EEC" w:rsidRPr="00862AF1">
        <w:rPr>
          <w:sz w:val="24"/>
          <w:szCs w:val="24"/>
        </w:rPr>
        <w:t xml:space="preserve"> Посоченото изключение е приложимо</w:t>
      </w:r>
      <w:r w:rsidR="00AB2013" w:rsidRPr="00862AF1">
        <w:rPr>
          <w:sz w:val="24"/>
          <w:szCs w:val="24"/>
        </w:rPr>
        <w:t>,</w:t>
      </w:r>
      <w:r w:rsidR="009E0EEC" w:rsidRPr="00862AF1">
        <w:rPr>
          <w:sz w:val="24"/>
          <w:szCs w:val="24"/>
        </w:rPr>
        <w:t xml:space="preserve"> при условие че договорът не съдържа </w:t>
      </w:r>
      <w:proofErr w:type="spellStart"/>
      <w:r w:rsidR="009E0EEC" w:rsidRPr="00862AF1">
        <w:rPr>
          <w:sz w:val="24"/>
          <w:szCs w:val="24"/>
        </w:rPr>
        <w:t>правнообвързващ</w:t>
      </w:r>
      <w:proofErr w:type="spellEnd"/>
      <w:r w:rsidR="009E0EEC" w:rsidRPr="00862AF1">
        <w:rPr>
          <w:sz w:val="24"/>
          <w:szCs w:val="24"/>
        </w:rPr>
        <w:t xml:space="preserve"> ангажимент, който прави инвестицията (придобиването на правото по интелектуална собствено</w:t>
      </w:r>
      <w:r w:rsidR="00425604" w:rsidRPr="00862AF1">
        <w:rPr>
          <w:sz w:val="24"/>
          <w:szCs w:val="24"/>
        </w:rPr>
        <w:t>ст</w:t>
      </w:r>
      <w:r w:rsidR="009E0EEC" w:rsidRPr="00862AF1">
        <w:rPr>
          <w:sz w:val="24"/>
          <w:szCs w:val="24"/>
        </w:rPr>
        <w:t>) преди подаване на проектното предложение необратима</w:t>
      </w:r>
      <w:r w:rsidR="000E6634" w:rsidRPr="00862AF1">
        <w:rPr>
          <w:sz w:val="24"/>
          <w:szCs w:val="24"/>
        </w:rPr>
        <w:t xml:space="preserve">. Договорът не би съдържал описания </w:t>
      </w:r>
      <w:proofErr w:type="spellStart"/>
      <w:r w:rsidR="000E6634" w:rsidRPr="00862AF1">
        <w:rPr>
          <w:sz w:val="24"/>
          <w:szCs w:val="24"/>
        </w:rPr>
        <w:t>правнообвързващ</w:t>
      </w:r>
      <w:proofErr w:type="spellEnd"/>
      <w:r w:rsidR="000E6634" w:rsidRPr="00862AF1">
        <w:rPr>
          <w:sz w:val="24"/>
          <w:szCs w:val="24"/>
        </w:rPr>
        <w:t xml:space="preserve"> ангажимент,</w:t>
      </w:r>
      <w:r w:rsidR="009E0EEC" w:rsidRPr="00862AF1">
        <w:rPr>
          <w:sz w:val="24"/>
          <w:szCs w:val="24"/>
        </w:rPr>
        <w:t xml:space="preserve"> когато прекратяването на договора </w:t>
      </w:r>
      <w:r w:rsidR="000E6634" w:rsidRPr="00862AF1">
        <w:rPr>
          <w:sz w:val="24"/>
          <w:szCs w:val="24"/>
        </w:rPr>
        <w:t>няма</w:t>
      </w:r>
      <w:r w:rsidR="009E0EEC" w:rsidRPr="00862AF1">
        <w:rPr>
          <w:sz w:val="24"/>
          <w:szCs w:val="24"/>
        </w:rPr>
        <w:t xml:space="preserve"> </w:t>
      </w:r>
      <w:r w:rsidR="00AB2013" w:rsidRPr="00862AF1">
        <w:rPr>
          <w:sz w:val="24"/>
          <w:szCs w:val="24"/>
        </w:rPr>
        <w:t xml:space="preserve">да </w:t>
      </w:r>
      <w:r w:rsidR="009E0EEC" w:rsidRPr="00862AF1">
        <w:rPr>
          <w:sz w:val="24"/>
          <w:szCs w:val="24"/>
        </w:rPr>
        <w:t xml:space="preserve">доведе до значителни загуби </w:t>
      </w:r>
      <w:r w:rsidR="000E6634" w:rsidRPr="00862AF1">
        <w:rPr>
          <w:sz w:val="24"/>
          <w:szCs w:val="24"/>
        </w:rPr>
        <w:t>за кандидата и когато</w:t>
      </w:r>
      <w:r w:rsidR="009E0EEC" w:rsidRPr="00862AF1">
        <w:rPr>
          <w:sz w:val="24"/>
          <w:szCs w:val="24"/>
        </w:rPr>
        <w:t xml:space="preserve"> съдържа клауза съгласно която същият влиза в сила след </w:t>
      </w:r>
      <w:r w:rsidR="000E6634" w:rsidRPr="00862AF1">
        <w:rPr>
          <w:sz w:val="24"/>
          <w:szCs w:val="24"/>
        </w:rPr>
        <w:t>и при условие на подаването/одобрението на проектното предложение по настоящата процедура</w:t>
      </w:r>
      <w:r w:rsidR="009F7A61">
        <w:rPr>
          <w:sz w:val="24"/>
          <w:szCs w:val="24"/>
        </w:rPr>
        <w:t>;</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дейности, изпълнени след крайния срок за изпъ</w:t>
      </w:r>
      <w:r w:rsidR="00710849" w:rsidRPr="00862AF1">
        <w:rPr>
          <w:sz w:val="24"/>
          <w:szCs w:val="24"/>
        </w:rPr>
        <w:t>лнение на дейностите по проекта</w:t>
      </w:r>
      <w:r w:rsidR="00F909CF" w:rsidRPr="00862AF1">
        <w:rPr>
          <w:sz w:val="24"/>
          <w:szCs w:val="24"/>
        </w:rPr>
        <w:t>;</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дейности, които вече са финансирани от други публични източници;</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 xml:space="preserve">закупуване на </w:t>
      </w:r>
      <w:r w:rsidR="005F496C" w:rsidRPr="00862AF1">
        <w:rPr>
          <w:sz w:val="24"/>
          <w:szCs w:val="24"/>
        </w:rPr>
        <w:t>дълготрайни активи</w:t>
      </w:r>
      <w:r w:rsidR="00F909CF" w:rsidRPr="00862AF1">
        <w:rPr>
          <w:sz w:val="24"/>
          <w:szCs w:val="24"/>
        </w:rPr>
        <w:t xml:space="preserve"> втора употреба;</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дейности за</w:t>
      </w:r>
      <w:r w:rsidR="000A0264" w:rsidRPr="00862AF1">
        <w:rPr>
          <w:sz w:val="24"/>
          <w:szCs w:val="24"/>
        </w:rPr>
        <w:t xml:space="preserve"> </w:t>
      </w:r>
      <w:r w:rsidR="00F909CF" w:rsidRPr="00862AF1">
        <w:rPr>
          <w:sz w:val="24"/>
          <w:szCs w:val="24"/>
        </w:rPr>
        <w:t xml:space="preserve">строително-монтажни работи (СМР); </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 xml:space="preserve">закупуване на </w:t>
      </w:r>
      <w:r w:rsidR="0019304D" w:rsidRPr="00862AF1">
        <w:rPr>
          <w:sz w:val="24"/>
          <w:szCs w:val="24"/>
        </w:rPr>
        <w:t>машини/съоръжения/оборудване</w:t>
      </w:r>
      <w:r w:rsidR="00CD46DC" w:rsidRPr="00862AF1">
        <w:rPr>
          <w:sz w:val="24"/>
          <w:szCs w:val="24"/>
        </w:rPr>
        <w:t xml:space="preserve"> и </w:t>
      </w:r>
      <w:r w:rsidR="00F06C4E" w:rsidRPr="00862AF1">
        <w:rPr>
          <w:sz w:val="24"/>
          <w:szCs w:val="24"/>
        </w:rPr>
        <w:t>нематериални дълготрайни активи</w:t>
      </w:r>
      <w:r w:rsidR="00F909CF" w:rsidRPr="00862AF1">
        <w:rPr>
          <w:sz w:val="24"/>
          <w:szCs w:val="24"/>
        </w:rPr>
        <w:t xml:space="preserve">, които не са пряко свързани с постигане на целите на проекта; </w:t>
      </w:r>
    </w:p>
    <w:p w:rsidR="00F909CF" w:rsidRPr="00862AF1"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xml:space="preserve">• </w:t>
      </w:r>
      <w:r w:rsidR="00F909CF" w:rsidRPr="00862AF1">
        <w:rPr>
          <w:sz w:val="24"/>
          <w:szCs w:val="24"/>
        </w:rPr>
        <w:t xml:space="preserve">закупуване на компютърно оборудване и софтуер за административни нужди на предприятието (вкл. софтуерни системи за управление – ERP, CRM и други </w:t>
      </w:r>
      <w:r w:rsidR="00CB5589" w:rsidRPr="00862AF1">
        <w:rPr>
          <w:sz w:val="24"/>
          <w:szCs w:val="24"/>
        </w:rPr>
        <w:t xml:space="preserve">подобни </w:t>
      </w:r>
      <w:r w:rsidR="00F909CF" w:rsidRPr="00862AF1">
        <w:rPr>
          <w:sz w:val="24"/>
          <w:szCs w:val="24"/>
        </w:rPr>
        <w:t>системи и модули към тях)</w:t>
      </w:r>
      <w:r w:rsidR="009F7A61">
        <w:rPr>
          <w:sz w:val="24"/>
          <w:szCs w:val="24"/>
        </w:rPr>
        <w:t>;</w:t>
      </w:r>
      <w:r w:rsidR="00F909CF" w:rsidRPr="00862AF1">
        <w:rPr>
          <w:sz w:val="24"/>
          <w:szCs w:val="24"/>
        </w:rPr>
        <w:t xml:space="preserve"> </w:t>
      </w:r>
    </w:p>
    <w:p w:rsidR="003A30AB" w:rsidRPr="00862AF1" w:rsidRDefault="003A30AB"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консултантски услуги за разработване на проектното предложение;</w:t>
      </w:r>
    </w:p>
    <w:p w:rsidR="0048288D" w:rsidRPr="00BD3276" w:rsidRDefault="0048288D"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62AF1">
        <w:rPr>
          <w:sz w:val="24"/>
          <w:szCs w:val="24"/>
        </w:rPr>
        <w:t>• консултантски, юридически и счетоводни услуги от общ характер (различни от описаните е в т.13.1 от Насоките</w:t>
      </w:r>
      <w:r w:rsidR="001D1B45">
        <w:rPr>
          <w:sz w:val="24"/>
          <w:szCs w:val="24"/>
        </w:rPr>
        <w:t>;</w:t>
      </w:r>
    </w:p>
    <w:p w:rsidR="00F909CF" w:rsidRPr="00BD3276"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F909CF" w:rsidRPr="00BD3276">
        <w:rPr>
          <w:sz w:val="24"/>
          <w:szCs w:val="24"/>
        </w:rPr>
        <w:t>закупуване и/или доставка на ресурси за производство, имащи характер на стоково-материални запаси (</w:t>
      </w:r>
      <w:r w:rsidR="00FF6F61" w:rsidRPr="00BD3276">
        <w:rPr>
          <w:sz w:val="24"/>
          <w:szCs w:val="24"/>
        </w:rPr>
        <w:t>суровини, материали, полуобработени компоненти, консумативи за производството, резервни части</w:t>
      </w:r>
      <w:r w:rsidR="00F909CF" w:rsidRPr="00BD3276">
        <w:rPr>
          <w:sz w:val="24"/>
          <w:szCs w:val="24"/>
        </w:rPr>
        <w:t xml:space="preserve">); </w:t>
      </w:r>
    </w:p>
    <w:p w:rsidR="00F909CF" w:rsidRPr="00BD3276"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F909CF" w:rsidRPr="00BD3276">
        <w:rPr>
          <w:sz w:val="24"/>
          <w:szCs w:val="24"/>
        </w:rPr>
        <w:t xml:space="preserve">участие в семинари, работни срещи, изложения; </w:t>
      </w:r>
    </w:p>
    <w:p w:rsidR="00B678F2" w:rsidRPr="00BD3276" w:rsidRDefault="00722D84"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F909CF" w:rsidRPr="00BD3276">
        <w:rPr>
          <w:sz w:val="24"/>
          <w:szCs w:val="24"/>
        </w:rPr>
        <w:t>закупуване или н</w:t>
      </w:r>
      <w:r w:rsidR="00C60AF5" w:rsidRPr="00BD3276">
        <w:rPr>
          <w:sz w:val="24"/>
          <w:szCs w:val="24"/>
        </w:rPr>
        <w:t xml:space="preserve">аемане на транспортни средства </w:t>
      </w:r>
      <w:r w:rsidR="00F909CF" w:rsidRPr="00BD3276">
        <w:rPr>
          <w:sz w:val="24"/>
          <w:szCs w:val="24"/>
        </w:rPr>
        <w:t>и съоръжения;</w:t>
      </w:r>
    </w:p>
    <w:p w:rsidR="002455BE" w:rsidRPr="00BD3276"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закриване на неконкурентоспособни въглищни мини;</w:t>
      </w:r>
    </w:p>
    <w:p w:rsidR="002455BE" w:rsidRPr="00BD3276"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дейности, свързани с транспортна и енергийна инфраструктура;</w:t>
      </w:r>
    </w:p>
    <w:p w:rsidR="002455BE" w:rsidRPr="00BD3276"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извеждането от експлоатация или изграждането на атомни електроцентрали;</w:t>
      </w:r>
    </w:p>
    <w:p w:rsidR="002455BE" w:rsidRPr="00BD3276"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инвестиции за постигане на намаляване на емисиите на парникови газове от дейности, изброени в приложение I към Директива 2003/87/ЕО;</w:t>
      </w:r>
    </w:p>
    <w:p w:rsidR="002455BE" w:rsidRPr="00BD3276"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производството, обработката и продажбата на тютюн и тютюневи изделия;</w:t>
      </w:r>
    </w:p>
    <w:p w:rsidR="00E82B30" w:rsidRDefault="00B678F2"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 xml:space="preserve">• </w:t>
      </w:r>
      <w:r w:rsidR="002455BE" w:rsidRPr="00BD3276">
        <w:rPr>
          <w:sz w:val="24"/>
          <w:szCs w:val="24"/>
        </w:rPr>
        <w:t>инвестиции в летищна инфраструктура</w:t>
      </w:r>
      <w:r w:rsidR="00E82B30" w:rsidRPr="00BD3276">
        <w:rPr>
          <w:sz w:val="24"/>
          <w:szCs w:val="24"/>
        </w:rPr>
        <w:t>;</w:t>
      </w:r>
    </w:p>
    <w:p w:rsidR="00F567EB" w:rsidRPr="00BD3276" w:rsidRDefault="00F567EB" w:rsidP="005100FE">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BD3276">
        <w:rPr>
          <w:sz w:val="24"/>
          <w:szCs w:val="24"/>
        </w:rPr>
        <w:t>•</w:t>
      </w:r>
      <w:r>
        <w:rPr>
          <w:sz w:val="24"/>
          <w:szCs w:val="24"/>
        </w:rPr>
        <w:t xml:space="preserve"> </w:t>
      </w:r>
      <w:r w:rsidRPr="00F567EB">
        <w:rPr>
          <w:sz w:val="24"/>
          <w:szCs w:val="24"/>
        </w:rPr>
        <w:t>придобиването на товарни автомобили за сухопътен транспорт</w:t>
      </w:r>
      <w:r>
        <w:rPr>
          <w:sz w:val="24"/>
          <w:szCs w:val="24"/>
        </w:rPr>
        <w:t>.</w:t>
      </w:r>
    </w:p>
    <w:p w:rsidR="002A3655" w:rsidRPr="00BD3276" w:rsidRDefault="00CB14EE" w:rsidP="0049599F">
      <w:pPr>
        <w:pStyle w:val="Heading2"/>
        <w:spacing w:before="360" w:after="120"/>
      </w:pPr>
      <w:bookmarkStart w:id="19" w:name="_Toc418791450"/>
      <w:r w:rsidRPr="003E5CD2">
        <w:lastRenderedPageBreak/>
        <w:t>1</w:t>
      </w:r>
      <w:r w:rsidR="004A58E5" w:rsidRPr="003E5CD2">
        <w:t>4</w:t>
      </w:r>
      <w:r w:rsidR="002325A3" w:rsidRPr="003E5CD2">
        <w:t xml:space="preserve">. </w:t>
      </w:r>
      <w:r w:rsidR="003D562F" w:rsidRPr="003E5CD2">
        <w:t>Категории р</w:t>
      </w:r>
      <w:r w:rsidR="002325A3" w:rsidRPr="003E5CD2">
        <w:t>азходи, допустими за финансиране</w:t>
      </w:r>
      <w:r w:rsidR="002A3655" w:rsidRPr="003E5CD2">
        <w:t>:</w:t>
      </w:r>
      <w:bookmarkEnd w:id="19"/>
    </w:p>
    <w:p w:rsidR="00D346BF" w:rsidRPr="00862AF1" w:rsidRDefault="002A3655" w:rsidP="00D346BF">
      <w:pPr>
        <w:pBdr>
          <w:top w:val="single" w:sz="4" w:space="1" w:color="auto"/>
          <w:left w:val="single" w:sz="4" w:space="4" w:color="auto"/>
          <w:bottom w:val="single" w:sz="4" w:space="1" w:color="auto"/>
          <w:right w:val="single" w:sz="4" w:space="4" w:color="auto"/>
        </w:pBdr>
        <w:spacing w:after="120" w:line="240" w:lineRule="auto"/>
        <w:jc w:val="both"/>
        <w:rPr>
          <w:sz w:val="24"/>
          <w:szCs w:val="24"/>
          <w:lang w:val="en-US"/>
        </w:rPr>
      </w:pPr>
      <w:r w:rsidRPr="00BD3276">
        <w:rPr>
          <w:sz w:val="24"/>
          <w:szCs w:val="24"/>
        </w:rPr>
        <w:t>П</w:t>
      </w:r>
      <w:r w:rsidR="009D5D22" w:rsidRPr="00BD3276">
        <w:rPr>
          <w:sz w:val="24"/>
          <w:szCs w:val="24"/>
        </w:rPr>
        <w:t xml:space="preserve">ри предоставяне на безвъзмездна финансова помощ по настоящата процедура ще бъдат </w:t>
      </w:r>
      <w:r w:rsidR="009D5D22" w:rsidRPr="00862AF1">
        <w:rPr>
          <w:sz w:val="24"/>
          <w:szCs w:val="24"/>
        </w:rPr>
        <w:t>взети под внимание само „допустимите разходи”, детайлно описани по-долу. Бюджетът</w:t>
      </w:r>
      <w:r w:rsidR="00E97596" w:rsidRPr="00862AF1">
        <w:rPr>
          <w:sz w:val="24"/>
          <w:szCs w:val="24"/>
        </w:rPr>
        <w:t xml:space="preserve"> (т. 5 от Формуляра за кандидатстване)</w:t>
      </w:r>
      <w:r w:rsidR="009D5D22" w:rsidRPr="00862AF1">
        <w:rPr>
          <w:sz w:val="24"/>
          <w:szCs w:val="24"/>
        </w:rPr>
        <w:t xml:space="preserve"> представлява предварителна оценка на очакваните разходи и трябва точно да отговаря на стойността, посочена в проекта. Бюджетът представлява, както предварителна оценка на очакваните разходи, така и максимален размер на допустимите разходи. </w:t>
      </w:r>
    </w:p>
    <w:p w:rsidR="00EB519A" w:rsidRPr="00862AF1" w:rsidRDefault="009D5D22" w:rsidP="00D346B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862AF1">
        <w:rPr>
          <w:sz w:val="24"/>
          <w:szCs w:val="24"/>
        </w:rPr>
        <w:t>По време на оценката на проектните предложения е възможно да бъдат установени обстоятелства, които да налагат промяна в бюджета. Тези обстоятелства могат да наложат и изискването на допълнителни разяснения и информация от страна на Оценителната комисия до кандидата, както и намаляване на бюд</w:t>
      </w:r>
      <w:r w:rsidR="00EB519A" w:rsidRPr="00862AF1">
        <w:rPr>
          <w:sz w:val="24"/>
          <w:szCs w:val="24"/>
        </w:rPr>
        <w:t xml:space="preserve">жета на проектното предложение. </w:t>
      </w:r>
      <w:r w:rsidRPr="00862AF1">
        <w:rPr>
          <w:sz w:val="24"/>
          <w:szCs w:val="24"/>
        </w:rPr>
        <w:t xml:space="preserve">Възможните изменения на бюджета </w:t>
      </w:r>
      <w:r w:rsidRPr="00862AF1">
        <w:rPr>
          <w:b/>
          <w:sz w:val="24"/>
          <w:szCs w:val="24"/>
        </w:rPr>
        <w:t>не могат</w:t>
      </w:r>
      <w:r w:rsidRPr="00862AF1">
        <w:rPr>
          <w:sz w:val="24"/>
          <w:szCs w:val="24"/>
        </w:rPr>
        <w:t xml:space="preserve"> да доведат до увеличаване на сумата на исканата безвъзмездна</w:t>
      </w:r>
      <w:r w:rsidR="00ED36F7" w:rsidRPr="00862AF1">
        <w:rPr>
          <w:sz w:val="24"/>
          <w:szCs w:val="24"/>
        </w:rPr>
        <w:t xml:space="preserve"> помощ по настоящата процедура.</w:t>
      </w:r>
    </w:p>
    <w:p w:rsidR="00EB519A" w:rsidRPr="00862AF1" w:rsidRDefault="00EB519A" w:rsidP="00EB519A">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862AF1">
        <w:rPr>
          <w:b/>
          <w:sz w:val="24"/>
          <w:szCs w:val="24"/>
        </w:rPr>
        <w:t>ВАЖНО:</w:t>
      </w:r>
      <w:r w:rsidRPr="00862AF1">
        <w:rPr>
          <w:sz w:val="24"/>
          <w:szCs w:val="24"/>
        </w:rPr>
        <w:t xml:space="preserve"> </w:t>
      </w:r>
      <w:r w:rsidRPr="00862AF1">
        <w:rPr>
          <w:b/>
          <w:sz w:val="24"/>
          <w:szCs w:val="24"/>
        </w:rPr>
        <w:t>Във връзка със спазването на принципа за недопускане под никаква форма на реализиране на печалба от безвъзмездните финансови средства</w:t>
      </w:r>
      <w:r w:rsidR="00291818" w:rsidRPr="00862AF1">
        <w:rPr>
          <w:b/>
          <w:sz w:val="24"/>
          <w:szCs w:val="24"/>
        </w:rPr>
        <w:t>,</w:t>
      </w:r>
      <w:r w:rsidRPr="00862AF1">
        <w:rPr>
          <w:b/>
          <w:sz w:val="24"/>
          <w:szCs w:val="24"/>
        </w:rPr>
        <w:t xml:space="preserve"> </w:t>
      </w:r>
      <w:r w:rsidR="00D721FC" w:rsidRPr="00862AF1">
        <w:rPr>
          <w:b/>
          <w:sz w:val="24"/>
          <w:szCs w:val="24"/>
        </w:rPr>
        <w:t xml:space="preserve">печалбата </w:t>
      </w:r>
      <w:r w:rsidRPr="00862AF1">
        <w:rPr>
          <w:b/>
          <w:sz w:val="24"/>
          <w:szCs w:val="24"/>
        </w:rPr>
        <w:t>подлеж</w:t>
      </w:r>
      <w:r w:rsidR="00D721FC" w:rsidRPr="00862AF1">
        <w:rPr>
          <w:b/>
          <w:sz w:val="24"/>
          <w:szCs w:val="24"/>
        </w:rPr>
        <w:t>и</w:t>
      </w:r>
      <w:r w:rsidRPr="00862AF1">
        <w:rPr>
          <w:b/>
          <w:sz w:val="24"/>
          <w:szCs w:val="24"/>
        </w:rPr>
        <w:t xml:space="preserve"> на възстановяване</w:t>
      </w:r>
      <w:r w:rsidR="00291818" w:rsidRPr="00862AF1">
        <w:rPr>
          <w:rStyle w:val="FootnoteReference"/>
          <w:b/>
          <w:sz w:val="24"/>
          <w:szCs w:val="24"/>
        </w:rPr>
        <w:footnoteReference w:id="14"/>
      </w:r>
      <w:r w:rsidRPr="00862AF1">
        <w:rPr>
          <w:b/>
          <w:sz w:val="24"/>
          <w:szCs w:val="24"/>
        </w:rPr>
        <w:t>.</w:t>
      </w:r>
    </w:p>
    <w:p w:rsidR="000B2C34" w:rsidRPr="00862AF1" w:rsidRDefault="000B2C34" w:rsidP="00DC14A3">
      <w:pPr>
        <w:pStyle w:val="Heading3"/>
        <w:spacing w:before="120" w:after="120"/>
        <w:rPr>
          <w:sz w:val="24"/>
          <w:szCs w:val="24"/>
        </w:rPr>
      </w:pPr>
      <w:bookmarkStart w:id="20" w:name="_Toc418791451"/>
      <w:r w:rsidRPr="00862AF1">
        <w:rPr>
          <w:sz w:val="24"/>
          <w:szCs w:val="24"/>
        </w:rPr>
        <w:t>14.1. Условия за допустимост на разходите</w:t>
      </w:r>
      <w:bookmarkEnd w:id="20"/>
    </w:p>
    <w:p w:rsidR="000B2C34" w:rsidRPr="00862AF1" w:rsidRDefault="000B2C34" w:rsidP="002D59EB">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862AF1">
        <w:rPr>
          <w:sz w:val="24"/>
          <w:szCs w:val="24"/>
        </w:rPr>
        <w:t>За да бъдат допустими разходите по настоящата процедура за предоставяне на безвъзмездна финансова помощ</w:t>
      </w:r>
      <w:r w:rsidR="0093319A" w:rsidRPr="00862AF1">
        <w:rPr>
          <w:sz w:val="24"/>
          <w:szCs w:val="24"/>
        </w:rPr>
        <w:t xml:space="preserve"> </w:t>
      </w:r>
      <w:r w:rsidRPr="00862AF1">
        <w:rPr>
          <w:sz w:val="24"/>
          <w:szCs w:val="24"/>
        </w:rPr>
        <w:t>трябва да отговарят на следните условия:</w:t>
      </w:r>
    </w:p>
    <w:p w:rsidR="00AA4ADF" w:rsidRPr="00862AF1" w:rsidRDefault="004D4D81" w:rsidP="00AA4A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862AF1">
        <w:rPr>
          <w:b/>
          <w:sz w:val="24"/>
          <w:szCs w:val="24"/>
        </w:rPr>
        <w:t>1/</w:t>
      </w:r>
      <w:r w:rsidR="00AA4ADF" w:rsidRPr="00862AF1">
        <w:rPr>
          <w:sz w:val="24"/>
          <w:szCs w:val="24"/>
        </w:rPr>
        <w:t xml:space="preserve"> Да са необходими за изпълнението на проекта и да отговарят на принципите за добро финансово управление - икономичност, ефикасност и ефективност на вложените средства. </w:t>
      </w:r>
    </w:p>
    <w:p w:rsidR="00AA4ADF" w:rsidRPr="00BD3276" w:rsidRDefault="00AA4ADF" w:rsidP="00AA4A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862AF1">
        <w:rPr>
          <w:sz w:val="24"/>
          <w:szCs w:val="24"/>
        </w:rPr>
        <w:t xml:space="preserve">Разход, който не е обоснован в </w:t>
      </w:r>
      <w:r w:rsidR="00421B5B" w:rsidRPr="00862AF1">
        <w:rPr>
          <w:sz w:val="24"/>
          <w:szCs w:val="24"/>
        </w:rPr>
        <w:t>т.</w:t>
      </w:r>
      <w:r w:rsidR="006A53FA" w:rsidRPr="00862AF1">
        <w:rPr>
          <w:sz w:val="24"/>
          <w:szCs w:val="24"/>
        </w:rPr>
        <w:t xml:space="preserve"> </w:t>
      </w:r>
      <w:r w:rsidR="00421B5B" w:rsidRPr="00862AF1">
        <w:rPr>
          <w:sz w:val="24"/>
          <w:szCs w:val="24"/>
        </w:rPr>
        <w:t xml:space="preserve">7 </w:t>
      </w:r>
      <w:r w:rsidR="00E41890" w:rsidRPr="00862AF1">
        <w:rPr>
          <w:sz w:val="24"/>
          <w:szCs w:val="24"/>
        </w:rPr>
        <w:t xml:space="preserve">и т. 11 </w:t>
      </w:r>
      <w:r w:rsidRPr="00862AF1">
        <w:rPr>
          <w:sz w:val="24"/>
          <w:szCs w:val="24"/>
        </w:rPr>
        <w:t>на Формуляра за кандидатстване</w:t>
      </w:r>
      <w:r w:rsidRPr="00862AF1">
        <w:rPr>
          <w:b/>
          <w:sz w:val="24"/>
          <w:szCs w:val="24"/>
        </w:rPr>
        <w:t xml:space="preserve"> </w:t>
      </w:r>
      <w:r w:rsidRPr="00862AF1">
        <w:rPr>
          <w:sz w:val="24"/>
          <w:szCs w:val="24"/>
        </w:rPr>
        <w:t>ще бъде премахнат от бюджета на проекта</w:t>
      </w:r>
      <w:r w:rsidR="00E97596" w:rsidRPr="00862AF1">
        <w:rPr>
          <w:sz w:val="24"/>
          <w:szCs w:val="24"/>
        </w:rPr>
        <w:t xml:space="preserve"> (т. 5 от Формуляра</w:t>
      </w:r>
      <w:r w:rsidR="00E97596" w:rsidRPr="00BD3276">
        <w:rPr>
          <w:sz w:val="24"/>
          <w:szCs w:val="24"/>
        </w:rPr>
        <w:t xml:space="preserve"> за кандидатстване)</w:t>
      </w:r>
      <w:r w:rsidRPr="00BD3276">
        <w:rPr>
          <w:sz w:val="24"/>
          <w:szCs w:val="24"/>
        </w:rPr>
        <w:t xml:space="preserve"> служебно от оценителната комисия.</w:t>
      </w:r>
    </w:p>
    <w:p w:rsidR="00AA4ADF" w:rsidRPr="00BD3276" w:rsidRDefault="00AA4ADF" w:rsidP="00AA4AD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С оглед определяне на реалистичността на предвидените разходи за закупуване на активи, кандидатът следва да приложи към Формуляра за кандидатстване </w:t>
      </w:r>
      <w:r w:rsidRPr="00BD3276">
        <w:rPr>
          <w:i/>
          <w:sz w:val="24"/>
          <w:szCs w:val="24"/>
        </w:rPr>
        <w:t>оферта и/или извлечение от каталог на производители/ доставчици и/или проучване в интернет</w:t>
      </w:r>
      <w:r w:rsidRPr="00BD3276">
        <w:rPr>
          <w:sz w:val="24"/>
          <w:szCs w:val="24"/>
        </w:rPr>
        <w:t xml:space="preserve"> за всяка отделна инвестиция в активи.</w:t>
      </w:r>
      <w:r w:rsidR="009C5639" w:rsidRPr="00BD3276">
        <w:rPr>
          <w:sz w:val="24"/>
          <w:szCs w:val="24"/>
        </w:rPr>
        <w:t xml:space="preserve"> </w:t>
      </w:r>
      <w:r w:rsidRPr="00BD3276">
        <w:rPr>
          <w:sz w:val="24"/>
          <w:szCs w:val="24"/>
        </w:rPr>
        <w:t xml:space="preserve">В случаите, когато кандидатът </w:t>
      </w:r>
      <w:r w:rsidR="00605A53" w:rsidRPr="00BD3276">
        <w:rPr>
          <w:sz w:val="24"/>
          <w:szCs w:val="24"/>
        </w:rPr>
        <w:t xml:space="preserve">(и след допълнително изискване) </w:t>
      </w:r>
      <w:r w:rsidRPr="00BD3276">
        <w:rPr>
          <w:sz w:val="24"/>
          <w:szCs w:val="24"/>
        </w:rPr>
        <w:t>не е представил</w:t>
      </w:r>
      <w:r w:rsidR="00C405EF">
        <w:rPr>
          <w:sz w:val="24"/>
          <w:szCs w:val="24"/>
        </w:rPr>
        <w:t>/не е представил в изискуемия вид</w:t>
      </w:r>
      <w:r w:rsidRPr="00BD3276">
        <w:rPr>
          <w:sz w:val="24"/>
          <w:szCs w:val="24"/>
        </w:rPr>
        <w:t xml:space="preserve"> оферта и/или извлечение от каталог на производител/ доставчик и/или проучване в интернет за всяка отделна инвестиция в активи, съответният разход ще бъде премахнат от бюджета на проекта служебно от оценителната комисия.</w:t>
      </w:r>
    </w:p>
    <w:p w:rsidR="00286E0F" w:rsidRPr="00BD3276" w:rsidRDefault="00491A1C" w:rsidP="00286E0F">
      <w:pPr>
        <w:pBdr>
          <w:top w:val="single" w:sz="4" w:space="1" w:color="auto"/>
          <w:left w:val="single" w:sz="4" w:space="4" w:color="auto"/>
          <w:bottom w:val="single" w:sz="4" w:space="1" w:color="auto"/>
          <w:right w:val="single" w:sz="4" w:space="4" w:color="auto"/>
        </w:pBdr>
        <w:spacing w:after="120" w:line="240" w:lineRule="auto"/>
        <w:jc w:val="both"/>
        <w:rPr>
          <w:rFonts w:ascii="Calibri" w:eastAsia="Calibri" w:hAnsi="Calibri" w:cs="Times New Roman"/>
          <w:bCs/>
          <w:sz w:val="24"/>
          <w:szCs w:val="24"/>
        </w:rPr>
      </w:pPr>
      <w:r w:rsidRPr="00BD3276">
        <w:rPr>
          <w:rFonts w:ascii="Calibri" w:eastAsia="Calibri" w:hAnsi="Calibri" w:cs="Times New Roman"/>
          <w:sz w:val="24"/>
          <w:szCs w:val="24"/>
        </w:rPr>
        <w:t xml:space="preserve">Горепосочените документи са индикативни и служат за оценка на реалистичността на заложените в </w:t>
      </w:r>
      <w:r w:rsidR="0082066C" w:rsidRPr="00BD3276">
        <w:rPr>
          <w:rFonts w:ascii="Calibri" w:eastAsia="Calibri" w:hAnsi="Calibri" w:cs="Times New Roman"/>
          <w:sz w:val="24"/>
          <w:szCs w:val="24"/>
        </w:rPr>
        <w:t>б</w:t>
      </w:r>
      <w:r w:rsidRPr="00BD3276">
        <w:rPr>
          <w:rFonts w:ascii="Calibri" w:eastAsia="Calibri" w:hAnsi="Calibri" w:cs="Times New Roman"/>
          <w:sz w:val="24"/>
          <w:szCs w:val="24"/>
        </w:rPr>
        <w:t xml:space="preserve">юджета на проектното </w:t>
      </w:r>
      <w:r w:rsidRPr="0055763F">
        <w:rPr>
          <w:rFonts w:ascii="Calibri" w:eastAsia="Calibri" w:hAnsi="Calibri" w:cs="Times New Roman"/>
          <w:sz w:val="24"/>
          <w:szCs w:val="24"/>
        </w:rPr>
        <w:t>предложение</w:t>
      </w:r>
      <w:r w:rsidR="0082066C" w:rsidRPr="0055763F">
        <w:rPr>
          <w:rFonts w:ascii="Calibri" w:eastAsia="Calibri" w:hAnsi="Calibri" w:cs="Times New Roman"/>
          <w:sz w:val="24"/>
          <w:szCs w:val="24"/>
        </w:rPr>
        <w:t xml:space="preserve"> (т. 5 от Формуляра за кандидатстване)</w:t>
      </w:r>
      <w:r w:rsidRPr="0055763F">
        <w:rPr>
          <w:rFonts w:ascii="Calibri" w:eastAsia="Calibri" w:hAnsi="Calibri" w:cs="Times New Roman"/>
          <w:sz w:val="24"/>
          <w:szCs w:val="24"/>
        </w:rPr>
        <w:t xml:space="preserve"> разходи за съответните активи. По тази причина, в </w:t>
      </w:r>
      <w:r w:rsidR="00E90F91" w:rsidRPr="0055763F">
        <w:rPr>
          <w:rFonts w:ascii="Calibri" w:eastAsia="Calibri" w:hAnsi="Calibri" w:cs="Times New Roman"/>
          <w:sz w:val="24"/>
          <w:szCs w:val="24"/>
        </w:rPr>
        <w:t>Приложени</w:t>
      </w:r>
      <w:r w:rsidR="004D0A0C" w:rsidRPr="0055763F">
        <w:rPr>
          <w:rFonts w:ascii="Calibri" w:eastAsia="Calibri" w:hAnsi="Calibri" w:cs="Times New Roman"/>
          <w:sz w:val="24"/>
          <w:szCs w:val="24"/>
        </w:rPr>
        <w:t xml:space="preserve">е </w:t>
      </w:r>
      <w:r w:rsidR="00603CC7" w:rsidRPr="0055763F">
        <w:rPr>
          <w:rFonts w:ascii="Calibri" w:eastAsia="Calibri" w:hAnsi="Calibri" w:cs="Times New Roman"/>
          <w:sz w:val="24"/>
          <w:szCs w:val="24"/>
        </w:rPr>
        <w:t>Ц</w:t>
      </w:r>
      <w:r w:rsidR="00E90F91" w:rsidRPr="0055763F">
        <w:rPr>
          <w:rFonts w:ascii="Calibri" w:eastAsia="Calibri" w:hAnsi="Calibri" w:cs="Times New Roman"/>
          <w:sz w:val="24"/>
          <w:szCs w:val="24"/>
        </w:rPr>
        <w:t xml:space="preserve"> </w:t>
      </w:r>
      <w:r w:rsidRPr="0055763F">
        <w:rPr>
          <w:rFonts w:ascii="Calibri" w:eastAsia="Calibri" w:hAnsi="Calibri" w:cs="Times New Roman"/>
          <w:sz w:val="24"/>
          <w:szCs w:val="24"/>
        </w:rPr>
        <w:t xml:space="preserve">кандидатите следва да </w:t>
      </w:r>
      <w:r w:rsidRPr="0055763F">
        <w:rPr>
          <w:rFonts w:ascii="Calibri" w:eastAsia="Calibri" w:hAnsi="Calibri" w:cs="Times New Roman"/>
          <w:sz w:val="24"/>
          <w:szCs w:val="24"/>
        </w:rPr>
        <w:lastRenderedPageBreak/>
        <w:t>посочат минимални технически</w:t>
      </w:r>
      <w:r w:rsidR="0012267F" w:rsidRPr="0055763F">
        <w:rPr>
          <w:rFonts w:ascii="Calibri" w:eastAsia="Calibri" w:hAnsi="Calibri" w:cs="Times New Roman"/>
          <w:sz w:val="24"/>
          <w:szCs w:val="24"/>
        </w:rPr>
        <w:t xml:space="preserve"> и</w:t>
      </w:r>
      <w:r w:rsidR="00B545CD" w:rsidRPr="0055763F">
        <w:rPr>
          <w:rFonts w:ascii="Calibri" w:eastAsia="Calibri" w:hAnsi="Calibri" w:cs="Times New Roman"/>
          <w:sz w:val="24"/>
          <w:szCs w:val="24"/>
          <w:lang w:val="en-US"/>
        </w:rPr>
        <w:t>/</w:t>
      </w:r>
      <w:r w:rsidR="00B545CD" w:rsidRPr="0055763F">
        <w:rPr>
          <w:rFonts w:ascii="Calibri" w:eastAsia="Calibri" w:hAnsi="Calibri" w:cs="Times New Roman"/>
          <w:sz w:val="24"/>
          <w:szCs w:val="24"/>
        </w:rPr>
        <w:t>или</w:t>
      </w:r>
      <w:r w:rsidR="0012267F" w:rsidRPr="0055763F">
        <w:rPr>
          <w:rFonts w:ascii="Calibri" w:eastAsia="Calibri" w:hAnsi="Calibri" w:cs="Times New Roman"/>
          <w:sz w:val="24"/>
          <w:szCs w:val="24"/>
        </w:rPr>
        <w:t xml:space="preserve"> </w:t>
      </w:r>
      <w:r w:rsidRPr="0055763F">
        <w:rPr>
          <w:rFonts w:ascii="Calibri" w:eastAsia="Calibri" w:hAnsi="Calibri" w:cs="Times New Roman"/>
          <w:sz w:val="24"/>
          <w:szCs w:val="24"/>
        </w:rPr>
        <w:t xml:space="preserve">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r w:rsidR="007D6889" w:rsidRPr="0055763F">
        <w:rPr>
          <w:rFonts w:ascii="Calibri" w:eastAsia="Calibri" w:hAnsi="Calibri" w:cs="Times New Roman"/>
          <w:sz w:val="24"/>
          <w:szCs w:val="24"/>
        </w:rPr>
        <w:t xml:space="preserve">В случаите, когато кандидатът предвижда за закупуване  цялостна линия за производство (технологична линия за производство), състояща се от няколко компонента (машини/съоръжения/оборудване), в Приложение </w:t>
      </w:r>
      <w:r w:rsidR="0055763F" w:rsidRPr="0055763F">
        <w:rPr>
          <w:rFonts w:ascii="Calibri" w:eastAsia="Calibri" w:hAnsi="Calibri" w:cs="Times New Roman"/>
          <w:sz w:val="24"/>
          <w:szCs w:val="24"/>
        </w:rPr>
        <w:t>Ц</w:t>
      </w:r>
      <w:r w:rsidR="007D6889" w:rsidRPr="0055763F">
        <w:rPr>
          <w:rFonts w:ascii="Calibri" w:eastAsia="Calibri" w:hAnsi="Calibri" w:cs="Times New Roman"/>
          <w:sz w:val="24"/>
          <w:szCs w:val="24"/>
        </w:rPr>
        <w:t xml:space="preserve"> следва</w:t>
      </w:r>
      <w:r w:rsidR="007D6889" w:rsidRPr="007D6889">
        <w:rPr>
          <w:rFonts w:ascii="Calibri" w:eastAsia="Calibri" w:hAnsi="Calibri" w:cs="Times New Roman"/>
          <w:sz w:val="24"/>
          <w:szCs w:val="24"/>
        </w:rPr>
        <w:t xml:space="preserve"> да се посочат видовете и броя на компонентите на линията, както и минимални технически и/или функционални характеристики на всеки компонент по отделно</w:t>
      </w:r>
      <w:r w:rsidR="007D6889">
        <w:rPr>
          <w:rFonts w:ascii="Calibri" w:eastAsia="Calibri" w:hAnsi="Calibri" w:cs="Times New Roman"/>
          <w:sz w:val="24"/>
          <w:szCs w:val="24"/>
        </w:rPr>
        <w:t xml:space="preserve">. </w:t>
      </w:r>
      <w:r w:rsidR="00126867" w:rsidRPr="00BD3276">
        <w:rPr>
          <w:rFonts w:ascii="Calibri" w:eastAsia="Calibri" w:hAnsi="Calibri" w:cs="Times New Roman"/>
          <w:sz w:val="24"/>
          <w:szCs w:val="24"/>
        </w:rPr>
        <w:t>В случаите, когато кандидатът не е посочил минимални технически</w:t>
      </w:r>
      <w:r w:rsidR="0012267F" w:rsidRPr="00BD3276">
        <w:rPr>
          <w:rFonts w:ascii="Calibri" w:eastAsia="Calibri" w:hAnsi="Calibri" w:cs="Times New Roman"/>
          <w:sz w:val="24"/>
          <w:szCs w:val="24"/>
        </w:rPr>
        <w:t xml:space="preserve"> и</w:t>
      </w:r>
      <w:r w:rsidR="007D6889">
        <w:rPr>
          <w:rFonts w:ascii="Calibri" w:eastAsia="Calibri" w:hAnsi="Calibri" w:cs="Times New Roman"/>
          <w:sz w:val="24"/>
          <w:szCs w:val="24"/>
        </w:rPr>
        <w:t>/или</w:t>
      </w:r>
      <w:r w:rsidR="0012267F" w:rsidRPr="00BD3276">
        <w:rPr>
          <w:rFonts w:ascii="Calibri" w:eastAsia="Calibri" w:hAnsi="Calibri" w:cs="Times New Roman"/>
          <w:sz w:val="24"/>
          <w:szCs w:val="24"/>
        </w:rPr>
        <w:t xml:space="preserve"> </w:t>
      </w:r>
      <w:r w:rsidR="00126867" w:rsidRPr="00BD3276">
        <w:rPr>
          <w:rFonts w:ascii="Calibri" w:eastAsia="Calibri" w:hAnsi="Calibri" w:cs="Times New Roman"/>
          <w:sz w:val="24"/>
          <w:szCs w:val="24"/>
        </w:rPr>
        <w:t>функционални характеристики на предвидените за закупуване дълготрайни материални и нематериални активи</w:t>
      </w:r>
      <w:r w:rsidR="00231106" w:rsidRPr="00BD3276">
        <w:rPr>
          <w:rFonts w:ascii="Calibri" w:eastAsia="Calibri" w:hAnsi="Calibri" w:cs="Times New Roman"/>
          <w:sz w:val="24"/>
          <w:szCs w:val="24"/>
        </w:rPr>
        <w:t xml:space="preserve"> или те не съответстват на посочените в </w:t>
      </w:r>
      <w:r w:rsidR="00231106" w:rsidRPr="00BD3276">
        <w:rPr>
          <w:rFonts w:ascii="Calibri" w:eastAsia="Calibri" w:hAnsi="Calibri" w:cs="Times New Roman"/>
          <w:i/>
          <w:sz w:val="24"/>
          <w:szCs w:val="24"/>
        </w:rPr>
        <w:t>офертата и/или извлечението от каталог на производители/доставчици и/или проучването в интернет</w:t>
      </w:r>
      <w:r w:rsidR="00126867" w:rsidRPr="00BD3276">
        <w:rPr>
          <w:rFonts w:ascii="Calibri" w:eastAsia="Calibri" w:hAnsi="Calibri" w:cs="Times New Roman"/>
          <w:sz w:val="24"/>
          <w:szCs w:val="24"/>
        </w:rPr>
        <w:t xml:space="preserve">, съответният разход ще бъде премахнат от </w:t>
      </w:r>
      <w:r w:rsidR="00285FEB" w:rsidRPr="00BD3276">
        <w:rPr>
          <w:rFonts w:ascii="Calibri" w:eastAsia="Calibri" w:hAnsi="Calibri" w:cs="Times New Roman"/>
          <w:sz w:val="24"/>
          <w:szCs w:val="24"/>
        </w:rPr>
        <w:t xml:space="preserve">бюджета на </w:t>
      </w:r>
      <w:r w:rsidR="00285FEB" w:rsidRPr="00EA107A">
        <w:rPr>
          <w:rFonts w:ascii="Calibri" w:eastAsia="Calibri" w:hAnsi="Calibri" w:cs="Times New Roman"/>
          <w:sz w:val="24"/>
          <w:szCs w:val="24"/>
        </w:rPr>
        <w:t>проекта</w:t>
      </w:r>
      <w:r w:rsidR="0082066C" w:rsidRPr="00EA107A">
        <w:rPr>
          <w:rFonts w:ascii="Calibri" w:eastAsia="Calibri" w:hAnsi="Calibri" w:cs="Times New Roman"/>
          <w:sz w:val="24"/>
          <w:szCs w:val="24"/>
        </w:rPr>
        <w:t xml:space="preserve"> </w:t>
      </w:r>
      <w:r w:rsidR="0082066C" w:rsidRPr="00EA107A">
        <w:rPr>
          <w:sz w:val="24"/>
          <w:szCs w:val="24"/>
        </w:rPr>
        <w:t>(т. 5 от Формуляра</w:t>
      </w:r>
      <w:r w:rsidR="0082066C" w:rsidRPr="00BD3276">
        <w:rPr>
          <w:sz w:val="24"/>
          <w:szCs w:val="24"/>
        </w:rPr>
        <w:t xml:space="preserve"> за кандидатстване)</w:t>
      </w:r>
      <w:r w:rsidR="00285FEB" w:rsidRPr="00BD3276">
        <w:rPr>
          <w:rFonts w:ascii="Calibri" w:eastAsia="Calibri" w:hAnsi="Calibri" w:cs="Times New Roman"/>
          <w:sz w:val="24"/>
          <w:szCs w:val="24"/>
        </w:rPr>
        <w:t xml:space="preserve"> служебно от О</w:t>
      </w:r>
      <w:r w:rsidR="00126867" w:rsidRPr="00BD3276">
        <w:rPr>
          <w:rFonts w:ascii="Calibri" w:eastAsia="Calibri" w:hAnsi="Calibri" w:cs="Times New Roman"/>
          <w:sz w:val="24"/>
          <w:szCs w:val="24"/>
        </w:rPr>
        <w:t>ценителната комисия.</w:t>
      </w:r>
      <w:r w:rsidR="00286E0F" w:rsidRPr="00BD3276">
        <w:rPr>
          <w:rFonts w:ascii="Times New Roman" w:eastAsia="Times New Roman" w:hAnsi="Times New Roman" w:cs="Times New Roman"/>
          <w:bCs/>
          <w:lang w:eastAsia="pl-PL"/>
        </w:rPr>
        <w:t xml:space="preserve"> </w:t>
      </w:r>
      <w:r w:rsidR="00286E0F" w:rsidRPr="00BD3276">
        <w:rPr>
          <w:rFonts w:ascii="Calibri" w:eastAsia="Calibri" w:hAnsi="Calibri" w:cs="Times New Roman"/>
          <w:bCs/>
          <w:sz w:val="24"/>
          <w:szCs w:val="24"/>
        </w:rPr>
        <w:t>В случаите, когато Оценителната комисия премахне всички разходи от бюджета на проекта, поради  непредставяне на оферта и/или извлечение от каталог на производител/ доставчик и/или проучване в интернет, недопустими разходи  или непосочване или несъответствие с минимални технически и</w:t>
      </w:r>
      <w:r w:rsidR="00C437F3">
        <w:rPr>
          <w:rFonts w:ascii="Calibri" w:eastAsia="Calibri" w:hAnsi="Calibri" w:cs="Times New Roman"/>
          <w:bCs/>
          <w:sz w:val="24"/>
          <w:szCs w:val="24"/>
        </w:rPr>
        <w:t>/или</w:t>
      </w:r>
      <w:r w:rsidR="00286E0F" w:rsidRPr="00BD3276">
        <w:rPr>
          <w:rFonts w:ascii="Calibri" w:eastAsia="Calibri" w:hAnsi="Calibri" w:cs="Times New Roman"/>
          <w:bCs/>
          <w:sz w:val="24"/>
          <w:szCs w:val="24"/>
        </w:rPr>
        <w:t xml:space="preserve"> функционални характеристики, проектното предложение се отхвърля.</w:t>
      </w:r>
    </w:p>
    <w:p w:rsidR="003A6B30" w:rsidRDefault="00AA4ADF" w:rsidP="003A6B3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Заложените разходи следва да съответстват на представените пазарни цени, като е допустимо увеличение до 10 % от стойността на представената оферта и/или извлече</w:t>
      </w:r>
      <w:r w:rsidR="00B678F2" w:rsidRPr="00BD3276">
        <w:rPr>
          <w:sz w:val="24"/>
          <w:szCs w:val="24"/>
        </w:rPr>
        <w:t>ние от каталог на производител/</w:t>
      </w:r>
      <w:r w:rsidRPr="00BD3276">
        <w:rPr>
          <w:sz w:val="24"/>
          <w:szCs w:val="24"/>
        </w:rPr>
        <w:t xml:space="preserve">доставчик и/или проучване в интернет. </w:t>
      </w:r>
      <w:r w:rsidR="00107950" w:rsidRPr="00BD3276">
        <w:rPr>
          <w:sz w:val="24"/>
          <w:szCs w:val="24"/>
        </w:rPr>
        <w:t>При проверка на съответствието на цени в чуждестранна валута, ще се взима предвид курсът на</w:t>
      </w:r>
      <w:r w:rsidR="003A6B30">
        <w:rPr>
          <w:sz w:val="24"/>
          <w:szCs w:val="24"/>
        </w:rPr>
        <w:t xml:space="preserve"> БНБ към  </w:t>
      </w:r>
      <w:r w:rsidR="003A6B30" w:rsidRPr="005778C3">
        <w:rPr>
          <w:sz w:val="24"/>
          <w:szCs w:val="24"/>
        </w:rPr>
        <w:t xml:space="preserve">дата </w:t>
      </w:r>
      <w:r w:rsidR="006F793F" w:rsidRPr="005778C3">
        <w:rPr>
          <w:sz w:val="24"/>
          <w:szCs w:val="24"/>
        </w:rPr>
        <w:t>ХХ.11</w:t>
      </w:r>
      <w:r w:rsidR="003A6B30" w:rsidRPr="005778C3">
        <w:rPr>
          <w:sz w:val="24"/>
          <w:szCs w:val="24"/>
        </w:rPr>
        <w:t>.2015 г.</w:t>
      </w:r>
      <w:r w:rsidR="006F793F">
        <w:rPr>
          <w:sz w:val="24"/>
          <w:szCs w:val="24"/>
        </w:rPr>
        <w:t xml:space="preserve"> (датата на обявяване на процедурата).</w:t>
      </w:r>
    </w:p>
    <w:p w:rsidR="00AA4ADF" w:rsidRPr="00BD3276" w:rsidRDefault="00AA4ADF" w:rsidP="003A6B3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Оценката на допустимостта на разходите за дълготрайни материални и нематериални активи, посочени в </w:t>
      </w:r>
      <w:r w:rsidR="00C742D8" w:rsidRPr="00BD3276">
        <w:rPr>
          <w:sz w:val="24"/>
          <w:szCs w:val="24"/>
        </w:rPr>
        <w:t>б</w:t>
      </w:r>
      <w:r w:rsidRPr="00BD3276">
        <w:rPr>
          <w:sz w:val="24"/>
          <w:szCs w:val="24"/>
        </w:rPr>
        <w:t xml:space="preserve">юджета на проектните предложения </w:t>
      </w:r>
      <w:r w:rsidR="00C742D8" w:rsidRPr="00BD3276">
        <w:rPr>
          <w:sz w:val="24"/>
          <w:szCs w:val="24"/>
        </w:rPr>
        <w:t>(</w:t>
      </w:r>
      <w:r w:rsidR="00C742D8" w:rsidRPr="009B25C0">
        <w:rPr>
          <w:sz w:val="24"/>
          <w:szCs w:val="24"/>
        </w:rPr>
        <w:t>т. 5</w:t>
      </w:r>
      <w:r w:rsidR="00C742D8" w:rsidRPr="00BD3276">
        <w:rPr>
          <w:sz w:val="24"/>
          <w:szCs w:val="24"/>
        </w:rPr>
        <w:t xml:space="preserve"> от Формуляра за кандидатстване) </w:t>
      </w:r>
      <w:r w:rsidRPr="00BD3276">
        <w:rPr>
          <w:sz w:val="24"/>
          <w:szCs w:val="24"/>
        </w:rPr>
        <w:t>ще бъде извършвана съгласно стойностн</w:t>
      </w:r>
      <w:r w:rsidR="00EB687C" w:rsidRPr="00BD3276">
        <w:rPr>
          <w:sz w:val="24"/>
          <w:szCs w:val="24"/>
        </w:rPr>
        <w:t>ия</w:t>
      </w:r>
      <w:r w:rsidRPr="00BD3276">
        <w:rPr>
          <w:sz w:val="24"/>
          <w:szCs w:val="24"/>
        </w:rPr>
        <w:t xml:space="preserve"> праг на същественост за дълготрайните материални и нематериални активи, определен в </w:t>
      </w:r>
      <w:r w:rsidR="00EB687C" w:rsidRPr="00BD3276">
        <w:rPr>
          <w:sz w:val="24"/>
          <w:szCs w:val="24"/>
        </w:rPr>
        <w:t xml:space="preserve">чл. 50, т. 2 от </w:t>
      </w:r>
      <w:r w:rsidRPr="00BD3276">
        <w:rPr>
          <w:sz w:val="24"/>
          <w:szCs w:val="24"/>
        </w:rPr>
        <w:t xml:space="preserve">ЗКПО. </w:t>
      </w:r>
    </w:p>
    <w:p w:rsidR="009D5D22" w:rsidRPr="00BD3276" w:rsidRDefault="002D59EB" w:rsidP="00EB519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2/</w:t>
      </w:r>
      <w:r w:rsidRPr="00BD3276">
        <w:rPr>
          <w:sz w:val="24"/>
          <w:szCs w:val="24"/>
        </w:rPr>
        <w:t xml:space="preserve"> </w:t>
      </w:r>
      <w:r w:rsidR="001D3F1F" w:rsidRPr="00BD3276">
        <w:rPr>
          <w:sz w:val="24"/>
          <w:szCs w:val="24"/>
        </w:rPr>
        <w:t>Д</w:t>
      </w:r>
      <w:r w:rsidRPr="00BD3276">
        <w:rPr>
          <w:sz w:val="24"/>
          <w:szCs w:val="24"/>
        </w:rPr>
        <w:t xml:space="preserve">а бъдат извършени след датата на </w:t>
      </w:r>
      <w:r w:rsidR="007C04C7" w:rsidRPr="00BD3276">
        <w:rPr>
          <w:sz w:val="24"/>
          <w:szCs w:val="24"/>
        </w:rPr>
        <w:t>подписване</w:t>
      </w:r>
      <w:r w:rsidRPr="00BD3276">
        <w:rPr>
          <w:sz w:val="24"/>
          <w:szCs w:val="24"/>
        </w:rPr>
        <w:t xml:space="preserve"> на договора за предоставяне на безвъзмездна финансова помощ и до изтичане на срока за изпълнение на проекта</w:t>
      </w:r>
      <w:r w:rsidR="00B4557C" w:rsidRPr="00BD3276">
        <w:rPr>
          <w:sz w:val="24"/>
          <w:szCs w:val="24"/>
        </w:rPr>
        <w:t>.</w:t>
      </w:r>
    </w:p>
    <w:p w:rsidR="001F1364" w:rsidRPr="00BD3276" w:rsidRDefault="001F1364" w:rsidP="00EB519A">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Не са допустими за финансиране проекти, които са били физически завършени или изцяло осъществени преди подаването на </w:t>
      </w:r>
      <w:r w:rsidR="0093319A" w:rsidRPr="00BD3276">
        <w:rPr>
          <w:sz w:val="24"/>
          <w:szCs w:val="24"/>
        </w:rPr>
        <w:t xml:space="preserve">проектното предложение </w:t>
      </w:r>
      <w:r w:rsidR="003E6A5A">
        <w:rPr>
          <w:sz w:val="24"/>
          <w:szCs w:val="24"/>
        </w:rPr>
        <w:t>от страна на бенефициента до У</w:t>
      </w:r>
      <w:r w:rsidRPr="00BD3276">
        <w:rPr>
          <w:sz w:val="24"/>
          <w:szCs w:val="24"/>
        </w:rPr>
        <w:t>правляващия орган, независимо дали всички свързани плащания са извършени от бенефициента, или не.</w:t>
      </w:r>
    </w:p>
    <w:p w:rsidR="001F1364" w:rsidRPr="00BD3276" w:rsidRDefault="001F1364" w:rsidP="001F1364">
      <w:pPr>
        <w:pBdr>
          <w:top w:val="single" w:sz="4" w:space="1" w:color="auto"/>
          <w:left w:val="single" w:sz="4" w:space="4" w:color="auto"/>
          <w:bottom w:val="single" w:sz="4" w:space="1" w:color="auto"/>
          <w:right w:val="single" w:sz="4" w:space="4" w:color="auto"/>
        </w:pBdr>
        <w:spacing w:after="240" w:line="240" w:lineRule="auto"/>
        <w:jc w:val="both"/>
        <w:rPr>
          <w:sz w:val="24"/>
          <w:szCs w:val="24"/>
        </w:rPr>
      </w:pPr>
      <w:proofErr w:type="spellStart"/>
      <w:r w:rsidRPr="00BD3276">
        <w:rPr>
          <w:sz w:val="24"/>
          <w:szCs w:val="24"/>
        </w:rPr>
        <w:t>Разходооправдателните</w:t>
      </w:r>
      <w:proofErr w:type="spellEnd"/>
      <w:r w:rsidRPr="00BD3276">
        <w:rPr>
          <w:sz w:val="24"/>
          <w:szCs w:val="24"/>
        </w:rPr>
        <w:t xml:space="preserve"> документи, свързани с изпълнението на допустими по проекта дейности</w:t>
      </w:r>
      <w:r w:rsidRPr="00BD3276">
        <w:rPr>
          <w:iCs/>
          <w:sz w:val="24"/>
          <w:szCs w:val="24"/>
        </w:rPr>
        <w:t>,</w:t>
      </w:r>
      <w:r w:rsidRPr="00BD3276">
        <w:rPr>
          <w:sz w:val="24"/>
          <w:szCs w:val="24"/>
        </w:rPr>
        <w:t xml:space="preserve"> следва да бъдат издадени в периода на допустимост на разходите по процедурата. Плащанията </w:t>
      </w:r>
      <w:r w:rsidRPr="00BD3276">
        <w:rPr>
          <w:iCs/>
          <w:sz w:val="24"/>
          <w:szCs w:val="24"/>
        </w:rPr>
        <w:t>могат да бъдат извършени и след края на проекта, но не по-късно от крайния срок, определен за представяне на финалния отчет за изпълнение на дейностите по проекта.</w:t>
      </w:r>
    </w:p>
    <w:p w:rsidR="00F50767" w:rsidRPr="00334FDB" w:rsidRDefault="00FC6EBF" w:rsidP="00F50767">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334FDB">
        <w:rPr>
          <w:b/>
          <w:sz w:val="24"/>
          <w:szCs w:val="24"/>
        </w:rPr>
        <w:t>3/</w:t>
      </w:r>
      <w:r w:rsidR="00EA7917" w:rsidRPr="00334FDB">
        <w:rPr>
          <w:b/>
          <w:sz w:val="24"/>
          <w:szCs w:val="24"/>
        </w:rPr>
        <w:t xml:space="preserve"> </w:t>
      </w:r>
      <w:r w:rsidR="00EA7917" w:rsidRPr="00334FDB">
        <w:rPr>
          <w:sz w:val="24"/>
          <w:szCs w:val="24"/>
        </w:rPr>
        <w:t>Да са в съответствие с</w:t>
      </w:r>
      <w:r w:rsidRPr="00334FDB">
        <w:rPr>
          <w:sz w:val="24"/>
          <w:szCs w:val="24"/>
        </w:rPr>
        <w:t xml:space="preserve"> </w:t>
      </w:r>
      <w:r w:rsidR="00F50767" w:rsidRPr="00334FDB">
        <w:rPr>
          <w:sz w:val="24"/>
          <w:szCs w:val="24"/>
        </w:rPr>
        <w:t>категориите разходи</w:t>
      </w:r>
      <w:r w:rsidR="00EA7917" w:rsidRPr="00334FDB">
        <w:rPr>
          <w:sz w:val="24"/>
          <w:szCs w:val="24"/>
        </w:rPr>
        <w:t>,</w:t>
      </w:r>
      <w:r w:rsidR="00F50767" w:rsidRPr="00334FDB">
        <w:rPr>
          <w:sz w:val="24"/>
          <w:szCs w:val="24"/>
        </w:rPr>
        <w:t xml:space="preserve"> включени в договора за предоставяне на </w:t>
      </w:r>
      <w:r w:rsidR="00EA7917" w:rsidRPr="00334FDB">
        <w:rPr>
          <w:sz w:val="24"/>
          <w:szCs w:val="24"/>
        </w:rPr>
        <w:t>безвъзмездна помощ</w:t>
      </w:r>
      <w:r w:rsidR="00F50767" w:rsidRPr="00334FDB">
        <w:rPr>
          <w:sz w:val="24"/>
          <w:szCs w:val="24"/>
        </w:rPr>
        <w:t>;</w:t>
      </w:r>
    </w:p>
    <w:p w:rsidR="00F50767" w:rsidRPr="00334FDB" w:rsidRDefault="00F50767" w:rsidP="00F50767">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334FDB">
        <w:rPr>
          <w:b/>
          <w:sz w:val="24"/>
          <w:szCs w:val="24"/>
        </w:rPr>
        <w:lastRenderedPageBreak/>
        <w:t>4/</w:t>
      </w:r>
      <w:r w:rsidRPr="00334FDB">
        <w:rPr>
          <w:sz w:val="24"/>
          <w:szCs w:val="24"/>
        </w:rPr>
        <w:t xml:space="preserve"> За разходите да е налична адекватна </w:t>
      </w:r>
      <w:proofErr w:type="spellStart"/>
      <w:r w:rsidRPr="00334FDB">
        <w:rPr>
          <w:sz w:val="24"/>
          <w:szCs w:val="24"/>
        </w:rPr>
        <w:t>одитна</w:t>
      </w:r>
      <w:proofErr w:type="spellEnd"/>
      <w:r w:rsidRPr="00334FDB">
        <w:rPr>
          <w:sz w:val="24"/>
          <w:szCs w:val="24"/>
        </w:rPr>
        <w:t xml:space="preserve"> следа, включително да са спазени разпоредбите за наличност на документите по чл. 140 от Регламент (ЕС) № 1303/2013 ;</w:t>
      </w:r>
    </w:p>
    <w:p w:rsidR="00FC6EBF" w:rsidRPr="00BD3276" w:rsidRDefault="00F50767" w:rsidP="00FC6EBF">
      <w:pPr>
        <w:pBdr>
          <w:top w:val="single" w:sz="4" w:space="1" w:color="auto"/>
          <w:left w:val="single" w:sz="4" w:space="4" w:color="auto"/>
          <w:bottom w:val="single" w:sz="4" w:space="1" w:color="auto"/>
          <w:right w:val="single" w:sz="4" w:space="4" w:color="auto"/>
        </w:pBdr>
        <w:spacing w:after="120" w:line="240" w:lineRule="auto"/>
        <w:jc w:val="both"/>
        <w:rPr>
          <w:b/>
          <w:i/>
          <w:sz w:val="24"/>
          <w:szCs w:val="24"/>
        </w:rPr>
      </w:pPr>
      <w:r w:rsidRPr="00BD3276">
        <w:rPr>
          <w:b/>
          <w:sz w:val="24"/>
          <w:szCs w:val="24"/>
        </w:rPr>
        <w:t>5/</w:t>
      </w:r>
      <w:r w:rsidRPr="00BD3276">
        <w:rPr>
          <w:sz w:val="24"/>
          <w:szCs w:val="24"/>
        </w:rPr>
        <w:t xml:space="preserve"> </w:t>
      </w:r>
      <w:r w:rsidR="00FC6EBF" w:rsidRPr="00BD3276">
        <w:rPr>
          <w:sz w:val="24"/>
          <w:szCs w:val="24"/>
        </w:rPr>
        <w:t>Да са действително платени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r w:rsidR="00FC6EBF" w:rsidRPr="00BD3276">
        <w:rPr>
          <w:b/>
          <w:i/>
          <w:sz w:val="24"/>
          <w:szCs w:val="24"/>
        </w:rPr>
        <w:t xml:space="preserve"> </w:t>
      </w:r>
    </w:p>
    <w:p w:rsidR="00F50767" w:rsidRPr="00BD3276" w:rsidRDefault="00F50767" w:rsidP="00F50767">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6/</w:t>
      </w:r>
      <w:r w:rsidRPr="00BD3276">
        <w:rPr>
          <w:sz w:val="24"/>
          <w:szCs w:val="24"/>
        </w:rPr>
        <w:t xml:space="preserve"> Да са отразени в счетоводната документация на бенефициента чрез отделни счетоводни аналитични сметки или в отделна счетоводна система;</w:t>
      </w:r>
    </w:p>
    <w:p w:rsidR="00FC6EBF" w:rsidRPr="00BD3276" w:rsidRDefault="00F50767" w:rsidP="004C7AA8">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7/</w:t>
      </w:r>
      <w:r w:rsidR="00FC6EBF" w:rsidRPr="00BD3276">
        <w:rPr>
          <w:sz w:val="24"/>
          <w:szCs w:val="24"/>
        </w:rPr>
        <w:t xml:space="preserve"> Да могат да се установят и проверят, да бъдат подкрепени от оригинални </w:t>
      </w:r>
      <w:proofErr w:type="spellStart"/>
      <w:r w:rsidR="00FC6EBF" w:rsidRPr="00BD3276">
        <w:rPr>
          <w:sz w:val="24"/>
          <w:szCs w:val="24"/>
        </w:rPr>
        <w:t>разходо-оправдателни</w:t>
      </w:r>
      <w:proofErr w:type="spellEnd"/>
      <w:r w:rsidR="00FC6EBF" w:rsidRPr="00BD3276">
        <w:rPr>
          <w:sz w:val="24"/>
          <w:szCs w:val="24"/>
        </w:rPr>
        <w:t xml:space="preserve"> документи.</w:t>
      </w:r>
    </w:p>
    <w:p w:rsidR="00F50767" w:rsidRPr="00BD3276" w:rsidRDefault="00F50767" w:rsidP="00F50767">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8/</w:t>
      </w:r>
      <w:r w:rsidRPr="00BD3276">
        <w:rPr>
          <w:sz w:val="24"/>
          <w:szCs w:val="24"/>
        </w:rPr>
        <w:t xml:space="preserve"> Да са за дейности, определени и </w:t>
      </w:r>
      <w:r w:rsidR="00860D31">
        <w:rPr>
          <w:sz w:val="24"/>
          <w:szCs w:val="24"/>
        </w:rPr>
        <w:t>извършени под отговорността на У</w:t>
      </w:r>
      <w:r w:rsidRPr="00BD3276">
        <w:rPr>
          <w:sz w:val="24"/>
          <w:szCs w:val="24"/>
        </w:rPr>
        <w:t>правляващ</w:t>
      </w:r>
      <w:r w:rsidR="0093319A" w:rsidRPr="00BD3276">
        <w:rPr>
          <w:sz w:val="24"/>
          <w:szCs w:val="24"/>
        </w:rPr>
        <w:t>ия</w:t>
      </w:r>
      <w:r w:rsidRPr="00BD3276">
        <w:rPr>
          <w:sz w:val="24"/>
          <w:szCs w:val="24"/>
        </w:rPr>
        <w:t xml:space="preserve"> орган и съгласно критериите за </w:t>
      </w:r>
      <w:r w:rsidR="004F48E9" w:rsidRPr="00BD3276">
        <w:rPr>
          <w:sz w:val="24"/>
          <w:szCs w:val="24"/>
        </w:rPr>
        <w:t xml:space="preserve">подбор </w:t>
      </w:r>
      <w:r w:rsidRPr="00BD3276">
        <w:rPr>
          <w:sz w:val="24"/>
          <w:szCs w:val="24"/>
        </w:rPr>
        <w:t xml:space="preserve">на операции, одобрени от </w:t>
      </w:r>
      <w:r w:rsidR="004F48E9" w:rsidRPr="00BD3276">
        <w:rPr>
          <w:sz w:val="24"/>
          <w:szCs w:val="24"/>
        </w:rPr>
        <w:t>К</w:t>
      </w:r>
      <w:r w:rsidRPr="00BD3276">
        <w:rPr>
          <w:sz w:val="24"/>
          <w:szCs w:val="24"/>
        </w:rPr>
        <w:t>омитет</w:t>
      </w:r>
      <w:r w:rsidR="004F48E9" w:rsidRPr="00BD3276">
        <w:rPr>
          <w:sz w:val="24"/>
          <w:szCs w:val="24"/>
        </w:rPr>
        <w:t>а</w:t>
      </w:r>
      <w:r w:rsidRPr="00BD3276">
        <w:rPr>
          <w:sz w:val="24"/>
          <w:szCs w:val="24"/>
        </w:rPr>
        <w:t xml:space="preserve"> за наблюдение . </w:t>
      </w:r>
    </w:p>
    <w:p w:rsidR="00FC6EBF" w:rsidRPr="00BD3276" w:rsidRDefault="00FC6EBF" w:rsidP="007B1F07">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sidRPr="00EA107A">
        <w:rPr>
          <w:sz w:val="24"/>
          <w:szCs w:val="24"/>
        </w:rPr>
        <w:t>Бюджетът</w:t>
      </w:r>
      <w:r w:rsidR="00097E7E" w:rsidRPr="00EA107A">
        <w:rPr>
          <w:sz w:val="24"/>
          <w:szCs w:val="24"/>
        </w:rPr>
        <w:t xml:space="preserve"> (т. 5 от Формуляра</w:t>
      </w:r>
      <w:r w:rsidR="00097E7E" w:rsidRPr="00BD3276">
        <w:rPr>
          <w:sz w:val="24"/>
          <w:szCs w:val="24"/>
        </w:rPr>
        <w:t xml:space="preserve"> за кандидатстване)</w:t>
      </w:r>
      <w:r w:rsidRPr="00BD3276">
        <w:rPr>
          <w:sz w:val="24"/>
          <w:szCs w:val="24"/>
        </w:rPr>
        <w:t xml:space="preserve"> трябва да отразява допустимите разходи, които са свързани с изпълнението на проекта. По настоящата процедура са недопустими разходите за </w:t>
      </w:r>
      <w:r w:rsidR="00650CBD" w:rsidRPr="00BD3276">
        <w:rPr>
          <w:sz w:val="24"/>
          <w:szCs w:val="24"/>
        </w:rPr>
        <w:t>възстановим</w:t>
      </w:r>
      <w:r w:rsidRPr="00BD3276">
        <w:rPr>
          <w:sz w:val="24"/>
          <w:szCs w:val="24"/>
        </w:rPr>
        <w:t xml:space="preserve"> ДДС във връзка с изпълнението на проекта. Недопустимите разходи за </w:t>
      </w:r>
      <w:r w:rsidR="00650CBD" w:rsidRPr="00BD3276">
        <w:rPr>
          <w:sz w:val="24"/>
          <w:szCs w:val="24"/>
        </w:rPr>
        <w:t>възстановим</w:t>
      </w:r>
      <w:r w:rsidRPr="00BD3276">
        <w:rPr>
          <w:sz w:val="24"/>
          <w:szCs w:val="24"/>
        </w:rPr>
        <w:t xml:space="preserve"> ДДС няма да се считат за собствено съфинансиране от страна на бенефициента. </w:t>
      </w:r>
    </w:p>
    <w:p w:rsidR="001F1364" w:rsidRPr="008D1FB2" w:rsidRDefault="007B1F07" w:rsidP="00DC14A3">
      <w:pPr>
        <w:pStyle w:val="Heading3"/>
        <w:spacing w:before="120" w:after="120"/>
        <w:rPr>
          <w:sz w:val="24"/>
          <w:szCs w:val="24"/>
        </w:rPr>
      </w:pPr>
      <w:bookmarkStart w:id="21" w:name="_Toc418791452"/>
      <w:r w:rsidRPr="008D1FB2">
        <w:rPr>
          <w:sz w:val="24"/>
          <w:szCs w:val="24"/>
        </w:rPr>
        <w:t>14.2. Допустими разходи</w:t>
      </w:r>
      <w:bookmarkEnd w:id="21"/>
    </w:p>
    <w:p w:rsidR="00B858FD" w:rsidRPr="00BD3276" w:rsidRDefault="00CE3D48" w:rsidP="001B4D64">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 xml:space="preserve">Допустимите разходи не трябва да противоречат на правилата, описани в </w:t>
      </w:r>
      <w:r w:rsidR="00B22017" w:rsidRPr="00BD3276">
        <w:rPr>
          <w:sz w:val="24"/>
          <w:szCs w:val="24"/>
        </w:rPr>
        <w:t>Регламент (ЕС</w:t>
      </w:r>
      <w:r w:rsidRPr="00BD3276">
        <w:rPr>
          <w:sz w:val="24"/>
          <w:szCs w:val="24"/>
        </w:rPr>
        <w:t xml:space="preserve">)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w:t>
      </w:r>
      <w:r w:rsidR="00B22017" w:rsidRPr="00BD3276">
        <w:rPr>
          <w:sz w:val="24"/>
          <w:szCs w:val="24"/>
        </w:rPr>
        <w:t>(ЕО) № 1080/2006, Регламент (ЕС</w:t>
      </w:r>
      <w:r w:rsidRPr="00BD3276">
        <w:rPr>
          <w:sz w:val="24"/>
          <w:szCs w:val="24"/>
        </w:rPr>
        <w:t xml:space="preserve">) № 1303/2013 на Европейския парламент и Съвета за определяне на </w:t>
      </w:r>
      <w:proofErr w:type="spellStart"/>
      <w:r w:rsidRPr="00BD3276">
        <w:rPr>
          <w:sz w:val="24"/>
          <w:szCs w:val="24"/>
        </w:rPr>
        <w:t>общоприложими</w:t>
      </w:r>
      <w:proofErr w:type="spellEnd"/>
      <w:r w:rsidRPr="00BD3276">
        <w:rPr>
          <w:sz w:val="24"/>
          <w:szCs w:val="24"/>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 г.</w:t>
      </w:r>
    </w:p>
    <w:p w:rsidR="001B4D64" w:rsidRDefault="001B4D64" w:rsidP="007B3960">
      <w:pPr>
        <w:pBdr>
          <w:top w:val="single" w:sz="4" w:space="1" w:color="auto"/>
          <w:left w:val="single" w:sz="4" w:space="4" w:color="auto"/>
          <w:bottom w:val="single" w:sz="4" w:space="1" w:color="auto"/>
          <w:right w:val="single" w:sz="4" w:space="4" w:color="auto"/>
        </w:pBdr>
        <w:spacing w:after="240" w:line="240" w:lineRule="auto"/>
        <w:jc w:val="both"/>
        <w:rPr>
          <w:b/>
          <w:sz w:val="24"/>
          <w:szCs w:val="24"/>
        </w:rPr>
      </w:pPr>
      <w:r w:rsidRPr="00BD3276">
        <w:rPr>
          <w:b/>
          <w:sz w:val="24"/>
          <w:szCs w:val="24"/>
        </w:rPr>
        <w:t xml:space="preserve">Допустими по процедурата са следните видове разходи: </w:t>
      </w:r>
    </w:p>
    <w:p w:rsidR="00A66E9A" w:rsidRPr="00A66E9A" w:rsidRDefault="00A66E9A" w:rsidP="00A66E9A">
      <w:pPr>
        <w:pBdr>
          <w:top w:val="single" w:sz="4" w:space="1" w:color="auto"/>
          <w:left w:val="single" w:sz="4" w:space="4" w:color="auto"/>
          <w:bottom w:val="single" w:sz="4" w:space="1" w:color="auto"/>
          <w:right w:val="single" w:sz="4" w:space="4" w:color="auto"/>
        </w:pBdr>
        <w:spacing w:after="240" w:line="240" w:lineRule="auto"/>
        <w:jc w:val="both"/>
        <w:rPr>
          <w:b/>
          <w:sz w:val="24"/>
          <w:szCs w:val="24"/>
        </w:rPr>
      </w:pPr>
      <w:r w:rsidRPr="00A66E9A">
        <w:rPr>
          <w:b/>
          <w:sz w:val="24"/>
          <w:szCs w:val="24"/>
        </w:rPr>
        <w:t>Елемент А „Инвестиции“</w:t>
      </w:r>
    </w:p>
    <w:p w:rsidR="00A66E9A" w:rsidRPr="00A66E9A" w:rsidRDefault="006C1418" w:rsidP="00A66E9A">
      <w:pPr>
        <w:pBdr>
          <w:top w:val="single" w:sz="4" w:space="1" w:color="auto"/>
          <w:left w:val="single" w:sz="4" w:space="4" w:color="auto"/>
          <w:bottom w:val="single" w:sz="4" w:space="1" w:color="auto"/>
          <w:right w:val="single" w:sz="4" w:space="4" w:color="auto"/>
        </w:pBdr>
        <w:spacing w:after="240" w:line="240" w:lineRule="auto"/>
        <w:jc w:val="both"/>
        <w:rPr>
          <w:b/>
          <w:sz w:val="24"/>
          <w:szCs w:val="24"/>
        </w:rPr>
      </w:pPr>
      <w:r>
        <w:rPr>
          <w:b/>
          <w:sz w:val="24"/>
          <w:szCs w:val="24"/>
        </w:rPr>
        <w:lastRenderedPageBreak/>
        <w:t>1)</w:t>
      </w:r>
      <w:r>
        <w:rPr>
          <w:b/>
          <w:sz w:val="24"/>
          <w:szCs w:val="24"/>
          <w:lang w:val="en-US"/>
        </w:rPr>
        <w:t xml:space="preserve"> </w:t>
      </w:r>
      <w:r w:rsidR="00A66E9A" w:rsidRPr="00A66E9A">
        <w:rPr>
          <w:sz w:val="24"/>
          <w:szCs w:val="24"/>
        </w:rPr>
        <w:t>Разходи за придобиване на машини, съоръжения и оборудване, представляващи дълготрайни материални активи, необходими за изпълнението на дейностите по проекта</w:t>
      </w:r>
      <w:r w:rsidR="00A66E9A" w:rsidRPr="00BD3276">
        <w:rPr>
          <w:rStyle w:val="FootnoteReference"/>
          <w:sz w:val="24"/>
          <w:szCs w:val="24"/>
        </w:rPr>
        <w:footnoteReference w:id="15"/>
      </w:r>
      <w:r w:rsidR="00A66E9A" w:rsidRPr="00A66E9A">
        <w:rPr>
          <w:sz w:val="24"/>
          <w:szCs w:val="24"/>
        </w:rPr>
        <w:t>;</w:t>
      </w:r>
    </w:p>
    <w:p w:rsidR="00007F7E" w:rsidRDefault="006C1418" w:rsidP="00A66E9A">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Pr>
          <w:b/>
          <w:sz w:val="24"/>
          <w:szCs w:val="24"/>
        </w:rPr>
        <w:t>2)</w:t>
      </w:r>
      <w:r>
        <w:rPr>
          <w:b/>
          <w:sz w:val="24"/>
          <w:szCs w:val="24"/>
          <w:lang w:val="en-US"/>
        </w:rPr>
        <w:t xml:space="preserve"> </w:t>
      </w:r>
      <w:r w:rsidR="00A66E9A" w:rsidRPr="00A66E9A">
        <w:rPr>
          <w:sz w:val="24"/>
          <w:szCs w:val="24"/>
        </w:rPr>
        <w:t>Разходи за придобиване на дълготрайни нематериални активи</w:t>
      </w:r>
      <w:r w:rsidR="00DB5B0B" w:rsidRPr="00BD3276">
        <w:rPr>
          <w:rStyle w:val="FootnoteReference"/>
          <w:sz w:val="24"/>
          <w:szCs w:val="24"/>
        </w:rPr>
        <w:footnoteReference w:id="16"/>
      </w:r>
      <w:r w:rsidR="00D500BE">
        <w:rPr>
          <w:sz w:val="24"/>
          <w:szCs w:val="24"/>
        </w:rPr>
        <w:t xml:space="preserve"> (вкл. разходи за разработване на софтуер)</w:t>
      </w:r>
      <w:r w:rsidR="00A66E9A" w:rsidRPr="00A66E9A">
        <w:rPr>
          <w:sz w:val="24"/>
          <w:szCs w:val="24"/>
        </w:rPr>
        <w:t>, необходими за изпълнението на дейностите по проекта</w:t>
      </w:r>
      <w:r w:rsidR="00DB5B0B">
        <w:rPr>
          <w:sz w:val="24"/>
          <w:szCs w:val="24"/>
        </w:rPr>
        <w:t>.</w:t>
      </w:r>
    </w:p>
    <w:p w:rsidR="00E90AC7" w:rsidRDefault="00E90AC7" w:rsidP="00A66E9A">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1E2230">
        <w:rPr>
          <w:b/>
          <w:sz w:val="24"/>
          <w:szCs w:val="24"/>
        </w:rPr>
        <w:t>ВАЖНО:</w:t>
      </w:r>
      <w:r>
        <w:rPr>
          <w:sz w:val="24"/>
          <w:szCs w:val="24"/>
        </w:rPr>
        <w:t xml:space="preserve"> </w:t>
      </w:r>
      <w:r w:rsidRPr="001E2230">
        <w:rPr>
          <w:sz w:val="24"/>
          <w:szCs w:val="24"/>
        </w:rPr>
        <w:t>Разходите за нематериални</w:t>
      </w:r>
      <w:r>
        <w:rPr>
          <w:sz w:val="24"/>
          <w:szCs w:val="24"/>
        </w:rPr>
        <w:t xml:space="preserve"> активи са допустими само до 50</w:t>
      </w:r>
      <w:r w:rsidRPr="001E2230">
        <w:rPr>
          <w:sz w:val="24"/>
          <w:szCs w:val="24"/>
        </w:rPr>
        <w:t>% от общите допустими инвестиционни разходи за първоначалната инвестиция при приложим режим на държавна помощ „Регионална инвестиционна помощ“ съгласно чл. 13 и чл. 14 от Регламент (ЕС) № 651/2014.</w:t>
      </w:r>
    </w:p>
    <w:p w:rsidR="00DB5B0B" w:rsidRPr="00DB5B0B" w:rsidRDefault="00DB5B0B" w:rsidP="00DB5B0B">
      <w:pPr>
        <w:pBdr>
          <w:top w:val="single" w:sz="4" w:space="1" w:color="auto"/>
          <w:left w:val="single" w:sz="4" w:space="4" w:color="auto"/>
          <w:bottom w:val="single" w:sz="4" w:space="1" w:color="auto"/>
          <w:right w:val="single" w:sz="4" w:space="4" w:color="auto"/>
        </w:pBdr>
        <w:spacing w:after="240" w:line="240" w:lineRule="auto"/>
        <w:jc w:val="both"/>
        <w:rPr>
          <w:b/>
          <w:i/>
          <w:sz w:val="24"/>
          <w:szCs w:val="24"/>
        </w:rPr>
      </w:pPr>
      <w:r w:rsidRPr="00DB5B0B">
        <w:rPr>
          <w:b/>
          <w:sz w:val="24"/>
          <w:szCs w:val="24"/>
        </w:rPr>
        <w:t>Елемент Б „Услуги“</w:t>
      </w:r>
    </w:p>
    <w:p w:rsidR="00DB5B0B" w:rsidRDefault="006C1418" w:rsidP="00DB5B0B">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Pr>
          <w:b/>
          <w:sz w:val="24"/>
          <w:szCs w:val="24"/>
        </w:rPr>
        <w:t>1)</w:t>
      </w:r>
      <w:r>
        <w:rPr>
          <w:b/>
          <w:sz w:val="24"/>
          <w:szCs w:val="24"/>
          <w:lang w:val="en-US"/>
        </w:rPr>
        <w:t xml:space="preserve"> </w:t>
      </w:r>
      <w:r w:rsidR="00DB5B0B" w:rsidRPr="00DB5B0B">
        <w:rPr>
          <w:sz w:val="24"/>
          <w:szCs w:val="24"/>
        </w:rPr>
        <w:t>Разходи за консултантски</w:t>
      </w:r>
      <w:r w:rsidR="00F54A08">
        <w:rPr>
          <w:sz w:val="24"/>
          <w:szCs w:val="24"/>
        </w:rPr>
        <w:t xml:space="preserve"> и помощни</w:t>
      </w:r>
      <w:r w:rsidR="00DB5B0B" w:rsidRPr="00DB5B0B">
        <w:rPr>
          <w:sz w:val="24"/>
          <w:szCs w:val="24"/>
        </w:rPr>
        <w:t xml:space="preserve"> услуги в подкрепа на иновациите</w:t>
      </w:r>
      <w:r w:rsidR="00B83A47">
        <w:rPr>
          <w:rStyle w:val="FootnoteReference"/>
          <w:sz w:val="24"/>
          <w:szCs w:val="24"/>
        </w:rPr>
        <w:footnoteReference w:id="17"/>
      </w:r>
      <w:r w:rsidR="00CF0536">
        <w:rPr>
          <w:sz w:val="24"/>
          <w:szCs w:val="24"/>
        </w:rPr>
        <w:t>.</w:t>
      </w:r>
    </w:p>
    <w:p w:rsidR="00FC3688" w:rsidRDefault="00FC3688" w:rsidP="00DB5B0B">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FC3688">
        <w:rPr>
          <w:sz w:val="24"/>
          <w:szCs w:val="24"/>
        </w:rPr>
        <w:t>Посочените разходи следва да бъдат извършени за изпълнение на дейностите по Елемент „Услуги“, посочени в т. 13.1.</w:t>
      </w:r>
    </w:p>
    <w:p w:rsidR="001E2230" w:rsidRPr="001E2230" w:rsidRDefault="001E2230" w:rsidP="001E2230">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1E2230">
        <w:rPr>
          <w:b/>
          <w:sz w:val="24"/>
          <w:szCs w:val="24"/>
        </w:rPr>
        <w:t>ВАЖНО:</w:t>
      </w:r>
      <w:r>
        <w:rPr>
          <w:sz w:val="24"/>
          <w:szCs w:val="24"/>
        </w:rPr>
        <w:t xml:space="preserve"> </w:t>
      </w:r>
      <w:r w:rsidRPr="001E2230">
        <w:rPr>
          <w:sz w:val="24"/>
          <w:szCs w:val="24"/>
        </w:rPr>
        <w:t>Разходите за Елемент Б „Услуги“ не следва да надвишават 50% от общо допустимите разходи по проекта.</w:t>
      </w:r>
    </w:p>
    <w:p w:rsidR="001C4822" w:rsidRPr="00BD3276" w:rsidRDefault="00845E3E" w:rsidP="001E2230">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b/>
          <w:sz w:val="24"/>
          <w:szCs w:val="24"/>
        </w:rPr>
        <w:t>ВАЖНО:</w:t>
      </w:r>
      <w:r w:rsidRPr="00BD3276">
        <w:rPr>
          <w:sz w:val="24"/>
          <w:szCs w:val="24"/>
        </w:rPr>
        <w:t xml:space="preserve"> </w:t>
      </w:r>
      <w:r w:rsidR="001C4822" w:rsidRPr="00BD3276">
        <w:rPr>
          <w:sz w:val="24"/>
          <w:szCs w:val="24"/>
        </w:rPr>
        <w:t xml:space="preserve">Дълготрайните материални и нематериални активи, придобити със средства по проекта, следва да бъдат използвани единствено в стопанския обект, който получава помощта, да бъдат </w:t>
      </w:r>
      <w:proofErr w:type="spellStart"/>
      <w:r w:rsidR="001C4822" w:rsidRPr="00BD3276">
        <w:rPr>
          <w:sz w:val="24"/>
          <w:szCs w:val="24"/>
        </w:rPr>
        <w:t>амортизируеми</w:t>
      </w:r>
      <w:proofErr w:type="spellEnd"/>
      <w:r w:rsidR="001C4822" w:rsidRPr="00BD3276">
        <w:rPr>
          <w:sz w:val="24"/>
          <w:szCs w:val="24"/>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w:t>
      </w:r>
      <w:r w:rsidR="002C5DC6">
        <w:rPr>
          <w:sz w:val="24"/>
          <w:szCs w:val="24"/>
        </w:rPr>
        <w:t xml:space="preserve">пет години или </w:t>
      </w:r>
      <w:r w:rsidR="001C4822" w:rsidRPr="00BD3276">
        <w:rPr>
          <w:sz w:val="24"/>
          <w:szCs w:val="24"/>
        </w:rPr>
        <w:t>три години</w:t>
      </w:r>
      <w:r w:rsidR="002C5DC6">
        <w:rPr>
          <w:sz w:val="24"/>
          <w:szCs w:val="24"/>
        </w:rPr>
        <w:t xml:space="preserve"> в случай на МСП</w:t>
      </w:r>
      <w:r w:rsidR="001C4822" w:rsidRPr="00BD3276">
        <w:rPr>
          <w:sz w:val="24"/>
          <w:szCs w:val="24"/>
        </w:rPr>
        <w:t>.</w:t>
      </w:r>
    </w:p>
    <w:p w:rsidR="001B4D64" w:rsidRPr="00BD3276" w:rsidRDefault="001C4822" w:rsidP="00C81556">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 xml:space="preserve">Допустимо е и придобиването на посочените активи чрез договор за краткосрочен </w:t>
      </w:r>
      <w:r w:rsidRPr="00BD3276">
        <w:rPr>
          <w:b/>
          <w:sz w:val="24"/>
          <w:szCs w:val="24"/>
        </w:rPr>
        <w:t>финансов лизинг</w:t>
      </w:r>
      <w:r w:rsidRPr="00BD3276">
        <w:rPr>
          <w:sz w:val="24"/>
          <w:szCs w:val="24"/>
        </w:rPr>
        <w:t xml:space="preserve">, </w:t>
      </w:r>
      <w:r w:rsidR="00C81556" w:rsidRPr="00BD3276">
        <w:rPr>
          <w:sz w:val="24"/>
          <w:szCs w:val="24"/>
        </w:rPr>
        <w:t>в който се съдържа задължението бенефициентът да закупи актива след изтичането на договора за лизинг</w:t>
      </w:r>
      <w:r w:rsidR="00BF17A2" w:rsidRPr="00BD3276">
        <w:rPr>
          <w:sz w:val="24"/>
          <w:szCs w:val="24"/>
        </w:rPr>
        <w:t xml:space="preserve">, </w:t>
      </w:r>
      <w:r w:rsidR="00BF17A2" w:rsidRPr="00BD3276">
        <w:rPr>
          <w:rFonts w:ascii="Calibri" w:eastAsia="Calibri" w:hAnsi="Calibri" w:cs="Times New Roman"/>
          <w:sz w:val="24"/>
          <w:szCs w:val="24"/>
        </w:rPr>
        <w:t>но не по- късно от крайния срок</w:t>
      </w:r>
      <w:r w:rsidR="00D815E7" w:rsidRPr="00BD3276">
        <w:rPr>
          <w:rFonts w:ascii="Calibri" w:eastAsia="Calibri" w:hAnsi="Calibri" w:cs="Times New Roman"/>
          <w:sz w:val="24"/>
          <w:szCs w:val="24"/>
        </w:rPr>
        <w:t xml:space="preserve"> </w:t>
      </w:r>
      <w:r w:rsidR="00BF17A2" w:rsidRPr="00BD3276">
        <w:rPr>
          <w:rFonts w:ascii="Calibri" w:eastAsia="Calibri" w:hAnsi="Calibri" w:cs="Times New Roman"/>
          <w:sz w:val="24"/>
          <w:szCs w:val="24"/>
        </w:rPr>
        <w:t>на изпълнение на проекта.</w:t>
      </w:r>
      <w:r w:rsidR="00C81556" w:rsidRPr="00BD3276">
        <w:rPr>
          <w:sz w:val="24"/>
          <w:szCs w:val="24"/>
        </w:rPr>
        <w:t xml:space="preserve"> Придобиването чрез финансов лизинг е допустимо при спазване на условията на чл. 19, ал. 1 и ал. 3 на ПМС №</w:t>
      </w:r>
      <w:r w:rsidR="00646ACA" w:rsidRPr="00BD3276">
        <w:rPr>
          <w:sz w:val="24"/>
          <w:szCs w:val="24"/>
        </w:rPr>
        <w:t xml:space="preserve"> </w:t>
      </w:r>
      <w:r w:rsidR="00C81556" w:rsidRPr="00BD3276">
        <w:rPr>
          <w:sz w:val="24"/>
          <w:szCs w:val="24"/>
        </w:rPr>
        <w:t>119/</w:t>
      </w:r>
      <w:r w:rsidR="0017789F" w:rsidRPr="00BD3276">
        <w:rPr>
          <w:sz w:val="24"/>
          <w:szCs w:val="24"/>
        </w:rPr>
        <w:t>2014 г.</w:t>
      </w:r>
      <w:r w:rsidR="00F243BC" w:rsidRPr="00BD3276">
        <w:rPr>
          <w:rStyle w:val="FootnoteReference"/>
          <w:sz w:val="24"/>
          <w:szCs w:val="24"/>
        </w:rPr>
        <w:footnoteReference w:id="18"/>
      </w:r>
      <w:r w:rsidRPr="00BD3276">
        <w:rPr>
          <w:sz w:val="24"/>
          <w:szCs w:val="24"/>
        </w:rPr>
        <w:t xml:space="preserve"> Бенефициентът може да придобие собствеността върху даден актив или чрез договор за финансов лизинг или чрез договор за покупка.</w:t>
      </w:r>
    </w:p>
    <w:p w:rsidR="00FD7FFD" w:rsidRPr="00BD3276" w:rsidRDefault="00F7433B" w:rsidP="001B4D64">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lastRenderedPageBreak/>
        <w:t>Разходите за информация и комуникация</w:t>
      </w:r>
      <w:r w:rsidR="00993ABC" w:rsidRPr="00BD3276">
        <w:rPr>
          <w:sz w:val="24"/>
          <w:szCs w:val="24"/>
        </w:rPr>
        <w:t xml:space="preserve"> (вкл. визуализация)</w:t>
      </w:r>
      <w:r w:rsidRPr="00BD3276">
        <w:rPr>
          <w:sz w:val="24"/>
          <w:szCs w:val="24"/>
        </w:rPr>
        <w:t xml:space="preserve"> и за одит са недопустими за финансиране по настоящата процедура. Въпреки това</w:t>
      </w:r>
      <w:r w:rsidR="00185C40" w:rsidRPr="00BD3276">
        <w:rPr>
          <w:sz w:val="24"/>
          <w:szCs w:val="24"/>
        </w:rPr>
        <w:t>,</w:t>
      </w:r>
      <w:r w:rsidRPr="00BD3276">
        <w:rPr>
          <w:sz w:val="24"/>
          <w:szCs w:val="24"/>
        </w:rPr>
        <w:t xml:space="preserve"> бенефициентите </w:t>
      </w:r>
      <w:r w:rsidR="00234B91" w:rsidRPr="00BD3276">
        <w:rPr>
          <w:sz w:val="24"/>
          <w:szCs w:val="24"/>
        </w:rPr>
        <w:t xml:space="preserve">следва да финансират със собствени средства </w:t>
      </w:r>
      <w:r w:rsidRPr="00BD3276">
        <w:rPr>
          <w:sz w:val="24"/>
          <w:szCs w:val="24"/>
        </w:rPr>
        <w:t>разходи</w:t>
      </w:r>
      <w:r w:rsidR="00246375" w:rsidRPr="00BD3276">
        <w:rPr>
          <w:sz w:val="24"/>
          <w:szCs w:val="24"/>
        </w:rPr>
        <w:t>те за информация и комуникация</w:t>
      </w:r>
      <w:r w:rsidR="008F3084" w:rsidRPr="00BD3276">
        <w:rPr>
          <w:sz w:val="24"/>
          <w:szCs w:val="24"/>
        </w:rPr>
        <w:t xml:space="preserve"> с оглед изпълнение на задълженията </w:t>
      </w:r>
      <w:r w:rsidR="00185C40" w:rsidRPr="00BD3276">
        <w:rPr>
          <w:sz w:val="24"/>
          <w:szCs w:val="24"/>
        </w:rPr>
        <w:t>им</w:t>
      </w:r>
      <w:r w:rsidR="008F3084" w:rsidRPr="00BD3276">
        <w:rPr>
          <w:sz w:val="24"/>
          <w:szCs w:val="24"/>
        </w:rPr>
        <w:t xml:space="preserve"> по Регламент 1303/2013</w:t>
      </w:r>
      <w:r w:rsidR="00017E07" w:rsidRPr="00BD3276">
        <w:rPr>
          <w:sz w:val="24"/>
          <w:szCs w:val="24"/>
        </w:rPr>
        <w:t xml:space="preserve"> за мерки за комуникация и информация.</w:t>
      </w:r>
    </w:p>
    <w:p w:rsidR="00E55332" w:rsidRPr="00BD3312" w:rsidRDefault="00E55332" w:rsidP="00E553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312">
        <w:rPr>
          <w:sz w:val="24"/>
          <w:szCs w:val="24"/>
        </w:rPr>
        <w:t>Когато кандидатът</w:t>
      </w:r>
      <w:r w:rsidR="00CE4ED5" w:rsidRPr="00BD3312">
        <w:rPr>
          <w:sz w:val="24"/>
          <w:szCs w:val="24"/>
        </w:rPr>
        <w:t xml:space="preserve"> упражнява </w:t>
      </w:r>
      <w:r w:rsidRPr="00BD3312">
        <w:rPr>
          <w:sz w:val="24"/>
          <w:szCs w:val="24"/>
        </w:rPr>
        <w:t xml:space="preserve">дейност в недопустимите сектори </w:t>
      </w:r>
      <w:r w:rsidR="00C97C33" w:rsidRPr="00C97C33">
        <w:rPr>
          <w:sz w:val="24"/>
          <w:szCs w:val="24"/>
        </w:rPr>
        <w:t xml:space="preserve">по т. 11.2, </w:t>
      </w:r>
      <w:proofErr w:type="spellStart"/>
      <w:r w:rsidR="00C97C33" w:rsidRPr="00C97C33">
        <w:rPr>
          <w:sz w:val="24"/>
          <w:szCs w:val="24"/>
        </w:rPr>
        <w:t>2</w:t>
      </w:r>
      <w:proofErr w:type="spellEnd"/>
      <w:r w:rsidR="00C97C33" w:rsidRPr="00C97C33">
        <w:rPr>
          <w:sz w:val="24"/>
          <w:szCs w:val="24"/>
        </w:rPr>
        <w:t>),</w:t>
      </w:r>
      <w:r w:rsidR="001172D3" w:rsidRPr="00BD3312">
        <w:rPr>
          <w:sz w:val="24"/>
          <w:szCs w:val="24"/>
        </w:rPr>
        <w:t>, но е допустим кандидат по настоящата процедура</w:t>
      </w:r>
      <w:r w:rsidRPr="00BD3312">
        <w:rPr>
          <w:sz w:val="24"/>
          <w:szCs w:val="24"/>
        </w:rPr>
        <w:t>, безвъзмездната п</w:t>
      </w:r>
      <w:r w:rsidR="001172D3" w:rsidRPr="00BD3312">
        <w:rPr>
          <w:sz w:val="24"/>
          <w:szCs w:val="24"/>
        </w:rPr>
        <w:t xml:space="preserve">омощ </w:t>
      </w:r>
      <w:r w:rsidRPr="00BD3312">
        <w:rPr>
          <w:sz w:val="24"/>
          <w:szCs w:val="24"/>
        </w:rPr>
        <w:t>се предоставя само за дейностите в допустимите сектори, като кандидат</w:t>
      </w:r>
      <w:r w:rsidR="00185C40" w:rsidRPr="00BD3312">
        <w:rPr>
          <w:sz w:val="24"/>
          <w:szCs w:val="24"/>
        </w:rPr>
        <w:t>ът</w:t>
      </w:r>
      <w:r w:rsidRPr="00BD3312">
        <w:rPr>
          <w:sz w:val="24"/>
          <w:szCs w:val="24"/>
        </w:rPr>
        <w:t>/бенефициент</w:t>
      </w:r>
      <w:r w:rsidR="00185C40" w:rsidRPr="00BD3312">
        <w:rPr>
          <w:sz w:val="24"/>
          <w:szCs w:val="24"/>
        </w:rPr>
        <w:t>ът</w:t>
      </w:r>
      <w:r w:rsidRPr="00BD3312">
        <w:rPr>
          <w:sz w:val="24"/>
          <w:szCs w:val="24"/>
        </w:rPr>
        <w:t xml:space="preserve"> следва да води отделна счетоводна отчетност, която да гарантира отделяне на дейностите и/или разграничаване на разходите, така че дейностите в горепосочените недопустими сектори да не се ползват от безвъзмездната помощ, предоставена по настоящата процедура.</w:t>
      </w:r>
    </w:p>
    <w:p w:rsidR="008D1FB2" w:rsidRPr="00BD3312" w:rsidRDefault="008D1FB2" w:rsidP="00E553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5B3B84" w:rsidRDefault="005B3B84" w:rsidP="005B3B8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312">
        <w:rPr>
          <w:sz w:val="24"/>
          <w:szCs w:val="24"/>
        </w:rPr>
        <w:t>С оглед горното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w:t>
      </w:r>
      <w:r w:rsidRPr="00BD3312">
        <w:rPr>
          <w:sz w:val="23"/>
          <w:szCs w:val="23"/>
        </w:rPr>
        <w:t xml:space="preserve"> утвърден от ръководството на предприятието с включени в него обособените счетоводни сметки /</w:t>
      </w:r>
      <w:proofErr w:type="spellStart"/>
      <w:r w:rsidRPr="00BD3312">
        <w:rPr>
          <w:sz w:val="23"/>
          <w:szCs w:val="23"/>
        </w:rPr>
        <w:t>подсметки</w:t>
      </w:r>
      <w:proofErr w:type="spellEnd"/>
      <w:r w:rsidRPr="00BD3312">
        <w:rPr>
          <w:sz w:val="23"/>
          <w:szCs w:val="23"/>
        </w:rPr>
        <w:t xml:space="preserve">/ специално открити за проекта. </w:t>
      </w:r>
      <w:r w:rsidR="00C50299" w:rsidRPr="00BD3312">
        <w:rPr>
          <w:sz w:val="23"/>
          <w:szCs w:val="23"/>
        </w:rPr>
        <w:t>От извлеченията/счетоводните записи по посочените в индивидуалния сметкоплан сметки следва да е видно разграничаването на разходите</w:t>
      </w:r>
      <w:r w:rsidRPr="00BD3312">
        <w:rPr>
          <w:sz w:val="24"/>
          <w:szCs w:val="24"/>
        </w:rPr>
        <w:t xml:space="preserve"> така че дейностите в горепосочените </w:t>
      </w:r>
      <w:r w:rsidR="00E263D6" w:rsidRPr="00BD3312">
        <w:rPr>
          <w:sz w:val="24"/>
          <w:szCs w:val="24"/>
        </w:rPr>
        <w:t>в недопустими сектори съгласно Регламент на Комисията (ЕС) №651/2014 г.,</w:t>
      </w:r>
      <w:r w:rsidRPr="00BD3312">
        <w:rPr>
          <w:sz w:val="24"/>
          <w:szCs w:val="24"/>
        </w:rPr>
        <w:t xml:space="preserve"> да не се ползват от безвъзмездната помощ по процедурата.</w:t>
      </w:r>
    </w:p>
    <w:p w:rsidR="009C117E" w:rsidRDefault="009C117E" w:rsidP="005B3B8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5E1096" w:rsidRDefault="009C117E" w:rsidP="005B3B8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Pr>
          <w:b/>
          <w:sz w:val="24"/>
          <w:szCs w:val="24"/>
        </w:rPr>
        <w:t xml:space="preserve">ВАЖНО: </w:t>
      </w:r>
      <w:r w:rsidR="003A4453" w:rsidRPr="00BD3312">
        <w:rPr>
          <w:sz w:val="24"/>
          <w:szCs w:val="24"/>
        </w:rPr>
        <w:t xml:space="preserve">Когато кандидатът упражнява </w:t>
      </w:r>
      <w:r w:rsidR="003A4453" w:rsidRPr="00DF0B8C">
        <w:rPr>
          <w:sz w:val="24"/>
          <w:szCs w:val="24"/>
        </w:rPr>
        <w:t xml:space="preserve">едновременно дейност </w:t>
      </w:r>
      <w:r w:rsidR="003A4453" w:rsidRPr="00BD3312">
        <w:rPr>
          <w:sz w:val="24"/>
          <w:szCs w:val="24"/>
        </w:rPr>
        <w:t xml:space="preserve">в недопустимите сектори </w:t>
      </w:r>
      <w:r w:rsidR="003A4453">
        <w:rPr>
          <w:sz w:val="24"/>
          <w:szCs w:val="24"/>
        </w:rPr>
        <w:t>по т. 11.2, 2А и 3</w:t>
      </w:r>
      <w:r w:rsidR="003A4453" w:rsidRPr="00BD3312">
        <w:rPr>
          <w:sz w:val="24"/>
          <w:szCs w:val="24"/>
        </w:rPr>
        <w:t xml:space="preserve"> </w:t>
      </w:r>
      <w:r w:rsidR="003A4453" w:rsidRPr="00DF0B8C">
        <w:rPr>
          <w:sz w:val="24"/>
          <w:szCs w:val="24"/>
        </w:rPr>
        <w:t xml:space="preserve">и кандидатства за </w:t>
      </w:r>
      <w:r w:rsidR="0022460B">
        <w:rPr>
          <w:sz w:val="24"/>
          <w:szCs w:val="24"/>
        </w:rPr>
        <w:t xml:space="preserve">допустими </w:t>
      </w:r>
      <w:r w:rsidR="003A4453" w:rsidRPr="00DF0B8C">
        <w:rPr>
          <w:sz w:val="24"/>
          <w:szCs w:val="24"/>
        </w:rPr>
        <w:t xml:space="preserve">дейности, </w:t>
      </w:r>
      <w:r w:rsidR="003A4453">
        <w:rPr>
          <w:sz w:val="24"/>
          <w:szCs w:val="24"/>
        </w:rPr>
        <w:t xml:space="preserve">следва във Формуляра за кандидатстване ясно да обоснове, че заложените по проекта разходи  ще бъдат използвани само за дейности, свързани с допустимите сектори. В противен случай, </w:t>
      </w:r>
      <w:r w:rsidR="003A4453" w:rsidRPr="00FE15E9">
        <w:rPr>
          <w:sz w:val="24"/>
          <w:szCs w:val="24"/>
        </w:rPr>
        <w:t>разходите ще бъдат премахнати от бюджета на проектното предложение служебно от страна на Оценителната комисия</w:t>
      </w:r>
      <w:r w:rsidR="003A4453">
        <w:rPr>
          <w:sz w:val="24"/>
          <w:szCs w:val="24"/>
        </w:rPr>
        <w:t>.</w:t>
      </w:r>
    </w:p>
    <w:p w:rsidR="009C117E" w:rsidRPr="009C117E" w:rsidRDefault="005E1096" w:rsidP="005B3B8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Също така, в</w:t>
      </w:r>
      <w:r w:rsidR="009C117E">
        <w:rPr>
          <w:sz w:val="24"/>
          <w:szCs w:val="24"/>
        </w:rPr>
        <w:t xml:space="preserve"> случай че </w:t>
      </w:r>
      <w:r w:rsidR="00BC371E">
        <w:rPr>
          <w:sz w:val="24"/>
          <w:szCs w:val="24"/>
        </w:rPr>
        <w:t xml:space="preserve">в резултат на извършването на </w:t>
      </w:r>
      <w:r w:rsidR="009C117E">
        <w:rPr>
          <w:sz w:val="24"/>
          <w:szCs w:val="24"/>
        </w:rPr>
        <w:t xml:space="preserve">даден разход </w:t>
      </w:r>
      <w:r w:rsidR="00BC371E">
        <w:rPr>
          <w:sz w:val="24"/>
          <w:szCs w:val="24"/>
        </w:rPr>
        <w:t>щ</w:t>
      </w:r>
      <w:r w:rsidR="009C117E">
        <w:rPr>
          <w:sz w:val="24"/>
          <w:szCs w:val="24"/>
        </w:rPr>
        <w:t>е</w:t>
      </w:r>
      <w:r w:rsidR="00BC371E">
        <w:rPr>
          <w:sz w:val="24"/>
          <w:szCs w:val="24"/>
        </w:rPr>
        <w:t xml:space="preserve"> бъдат осъществени допустима</w:t>
      </w:r>
      <w:r w:rsidR="00E736A9">
        <w:rPr>
          <w:sz w:val="24"/>
          <w:szCs w:val="24"/>
        </w:rPr>
        <w:t xml:space="preserve"> (съгласно т.13.1 от Насоките за кандидатстване)</w:t>
      </w:r>
      <w:r w:rsidR="00BC371E">
        <w:rPr>
          <w:sz w:val="24"/>
          <w:szCs w:val="24"/>
        </w:rPr>
        <w:t xml:space="preserve"> и недопустима дейност </w:t>
      </w:r>
      <w:r w:rsidR="00B31D25">
        <w:rPr>
          <w:sz w:val="24"/>
          <w:szCs w:val="24"/>
        </w:rPr>
        <w:t>(</w:t>
      </w:r>
      <w:r w:rsidR="002045B9">
        <w:rPr>
          <w:sz w:val="24"/>
          <w:szCs w:val="24"/>
        </w:rPr>
        <w:t>т. 13.2 от Насоките за кандидатстване</w:t>
      </w:r>
      <w:r w:rsidR="00B31D25">
        <w:rPr>
          <w:sz w:val="24"/>
          <w:szCs w:val="24"/>
        </w:rPr>
        <w:t>) или дейност,  посочена в  параграф</w:t>
      </w:r>
      <w:r w:rsidR="00B00927">
        <w:rPr>
          <w:sz w:val="24"/>
          <w:szCs w:val="24"/>
        </w:rPr>
        <w:t>и</w:t>
      </w:r>
      <w:r w:rsidR="00B31D25">
        <w:rPr>
          <w:sz w:val="24"/>
          <w:szCs w:val="24"/>
        </w:rPr>
        <w:t xml:space="preserve"> 2А и 3 от т</w:t>
      </w:r>
      <w:r w:rsidR="00B00927">
        <w:rPr>
          <w:sz w:val="24"/>
          <w:szCs w:val="24"/>
        </w:rPr>
        <w:t>.</w:t>
      </w:r>
      <w:r w:rsidR="00B31D25">
        <w:rPr>
          <w:sz w:val="24"/>
          <w:szCs w:val="24"/>
        </w:rPr>
        <w:t>11</w:t>
      </w:r>
      <w:r w:rsidR="00B00927">
        <w:rPr>
          <w:sz w:val="24"/>
          <w:szCs w:val="24"/>
        </w:rPr>
        <w:t>.2 на Насоките)</w:t>
      </w:r>
      <w:r w:rsidR="002045B9">
        <w:rPr>
          <w:sz w:val="24"/>
          <w:szCs w:val="24"/>
        </w:rPr>
        <w:t>, то този разход ще бъде  премахнат от бюджета на  проектно предложение</w:t>
      </w:r>
      <w:r w:rsidR="003A4453">
        <w:rPr>
          <w:sz w:val="24"/>
          <w:szCs w:val="24"/>
        </w:rPr>
        <w:t xml:space="preserve"> </w:t>
      </w:r>
      <w:r w:rsidR="003A4453" w:rsidRPr="003A4453">
        <w:rPr>
          <w:sz w:val="24"/>
          <w:szCs w:val="24"/>
        </w:rPr>
        <w:t>служебно от страна на Оценителната комисия</w:t>
      </w:r>
      <w:r w:rsidR="002045B9">
        <w:rPr>
          <w:sz w:val="24"/>
          <w:szCs w:val="24"/>
        </w:rPr>
        <w:t>.</w:t>
      </w:r>
      <w:r w:rsidR="009C117E">
        <w:rPr>
          <w:sz w:val="24"/>
          <w:szCs w:val="24"/>
        </w:rPr>
        <w:t xml:space="preserve"> </w:t>
      </w:r>
    </w:p>
    <w:p w:rsidR="00FD7FFD" w:rsidRPr="008D1FB2" w:rsidRDefault="00FD7FFD" w:rsidP="00DC14A3">
      <w:pPr>
        <w:pStyle w:val="Heading3"/>
        <w:spacing w:before="120" w:after="120"/>
        <w:rPr>
          <w:sz w:val="24"/>
          <w:szCs w:val="24"/>
        </w:rPr>
      </w:pPr>
      <w:bookmarkStart w:id="22" w:name="_Toc418791453"/>
      <w:r w:rsidRPr="008D1FB2">
        <w:rPr>
          <w:sz w:val="24"/>
          <w:szCs w:val="24"/>
        </w:rPr>
        <w:t>14.3. Недопустими разходи</w:t>
      </w:r>
      <w:bookmarkEnd w:id="22"/>
    </w:p>
    <w:p w:rsidR="009D442F" w:rsidRPr="00BD3276" w:rsidRDefault="009D442F" w:rsidP="009D442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Недопустими</w:t>
      </w:r>
      <w:r w:rsidRPr="00BD3276">
        <w:rPr>
          <w:sz w:val="24"/>
          <w:szCs w:val="24"/>
        </w:rPr>
        <w:t xml:space="preserve"> по процедурата са следните видове разходи: </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 xml:space="preserve">разходи за </w:t>
      </w:r>
      <w:r w:rsidR="007E3512" w:rsidRPr="00BD3276">
        <w:rPr>
          <w:sz w:val="24"/>
          <w:szCs w:val="24"/>
        </w:rPr>
        <w:t xml:space="preserve">дълготрайни активи </w:t>
      </w:r>
      <w:r w:rsidR="00670ACD" w:rsidRPr="00BD3276">
        <w:rPr>
          <w:sz w:val="24"/>
          <w:szCs w:val="24"/>
        </w:rPr>
        <w:t>втора употреба;</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строително-монтажни работи (СМР);</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 xml:space="preserve">разходи за закупуване на </w:t>
      </w:r>
      <w:r w:rsidR="00702090" w:rsidRPr="00BD3276">
        <w:rPr>
          <w:sz w:val="24"/>
          <w:szCs w:val="24"/>
        </w:rPr>
        <w:t xml:space="preserve">машини/съоръжения/оборудване и </w:t>
      </w:r>
      <w:r w:rsidR="00570714" w:rsidRPr="00BD3276">
        <w:rPr>
          <w:sz w:val="24"/>
          <w:szCs w:val="24"/>
        </w:rPr>
        <w:t>нематериални дълготрайни активи</w:t>
      </w:r>
      <w:r w:rsidR="00670ACD" w:rsidRPr="00BD3276">
        <w:rPr>
          <w:sz w:val="24"/>
          <w:szCs w:val="24"/>
        </w:rPr>
        <w:t>, които не са пряко свързани с постигане на целите на проекта;</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lastRenderedPageBreak/>
        <w:t xml:space="preserve">•  </w:t>
      </w:r>
      <w:r w:rsidR="00670ACD" w:rsidRPr="00BD3276">
        <w:rPr>
          <w:sz w:val="24"/>
          <w:szCs w:val="24"/>
        </w:rPr>
        <w:t>разходи за закупуване на компютърно оборудване и софтуер за административни нужди на предприятието</w:t>
      </w:r>
      <w:r w:rsidR="00157234" w:rsidRPr="00BD3276">
        <w:rPr>
          <w:sz w:val="24"/>
          <w:szCs w:val="24"/>
        </w:rPr>
        <w:t xml:space="preserve"> </w:t>
      </w:r>
      <w:r w:rsidR="00157234" w:rsidRPr="00BD3276">
        <w:rPr>
          <w:rFonts w:ascii="Calibri" w:eastAsia="Calibri" w:hAnsi="Calibri" w:cs="Times New Roman"/>
          <w:sz w:val="24"/>
          <w:szCs w:val="24"/>
        </w:rPr>
        <w:t>(вкл. софтуерни системи за управление – ERP, CRM и други подобни системи и модули към тях);</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участие в семинари, работни срещи, изложения;</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 xml:space="preserve">разходи за реклама на новите технологии, процеси, продукти/услуги – </w:t>
      </w:r>
      <w:r w:rsidR="009226C5">
        <w:rPr>
          <w:sz w:val="24"/>
          <w:szCs w:val="24"/>
        </w:rPr>
        <w:t xml:space="preserve">включително и не само </w:t>
      </w:r>
      <w:r w:rsidR="00670ACD" w:rsidRPr="00BD3276">
        <w:rPr>
          <w:sz w:val="24"/>
          <w:szCs w:val="24"/>
        </w:rPr>
        <w:t xml:space="preserve">публикуване на обяви в периодични издания, изработка и излъчване на рекламни </w:t>
      </w:r>
      <w:proofErr w:type="spellStart"/>
      <w:r w:rsidR="00670ACD" w:rsidRPr="00BD3276">
        <w:rPr>
          <w:sz w:val="24"/>
          <w:szCs w:val="24"/>
        </w:rPr>
        <w:t>спотове</w:t>
      </w:r>
      <w:proofErr w:type="spellEnd"/>
      <w:r w:rsidR="00670ACD" w:rsidRPr="00BD3276">
        <w:rPr>
          <w:sz w:val="24"/>
          <w:szCs w:val="24"/>
        </w:rPr>
        <w:t xml:space="preserve"> (радио и телевизионни), изработване на рекламни материали</w:t>
      </w:r>
      <w:r w:rsidR="00794245">
        <w:rPr>
          <w:sz w:val="24"/>
          <w:szCs w:val="24"/>
        </w:rPr>
        <w:t>;</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застраховки на закупеното оборудване;</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банкови такси и комисионни;</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непредвидени разходи;</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непреки разходи (административни разходи, режийни и др.);</w:t>
      </w:r>
    </w:p>
    <w:p w:rsidR="00670ACD" w:rsidRPr="0055763F"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 xml:space="preserve">разходи за </w:t>
      </w:r>
      <w:r w:rsidR="00670ACD" w:rsidRPr="0055763F">
        <w:rPr>
          <w:sz w:val="24"/>
          <w:szCs w:val="24"/>
        </w:rPr>
        <w:t>закупуване на земя и сгради;</w:t>
      </w:r>
    </w:p>
    <w:p w:rsidR="001A7081" w:rsidRPr="00BD3276" w:rsidRDefault="008D7C6A" w:rsidP="001A70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55763F">
        <w:rPr>
          <w:sz w:val="24"/>
          <w:szCs w:val="24"/>
        </w:rPr>
        <w:t xml:space="preserve">• </w:t>
      </w:r>
      <w:r w:rsidR="00670ACD" w:rsidRPr="0055763F">
        <w:rPr>
          <w:sz w:val="24"/>
          <w:szCs w:val="24"/>
        </w:rPr>
        <w:t>разходи за закупуване или наемане на транспортни средства и съоръж</w:t>
      </w:r>
      <w:r w:rsidR="00702090" w:rsidRPr="0055763F">
        <w:rPr>
          <w:sz w:val="24"/>
          <w:szCs w:val="24"/>
        </w:rPr>
        <w:t xml:space="preserve">ения съгласно дефиницията в </w:t>
      </w:r>
      <w:r w:rsidR="009D7BC4" w:rsidRPr="0055763F">
        <w:rPr>
          <w:sz w:val="24"/>
          <w:szCs w:val="24"/>
        </w:rPr>
        <w:t>Приложение</w:t>
      </w:r>
      <w:r w:rsidR="0055763F" w:rsidRPr="0055763F">
        <w:rPr>
          <w:sz w:val="24"/>
          <w:szCs w:val="24"/>
        </w:rPr>
        <w:t xml:space="preserve"> Ш</w:t>
      </w:r>
      <w:r w:rsidR="00670ACD" w:rsidRPr="0055763F">
        <w:rPr>
          <w:sz w:val="24"/>
          <w:szCs w:val="24"/>
        </w:rPr>
        <w:t>;</w:t>
      </w:r>
      <w:r w:rsidR="001A7081" w:rsidRPr="00BD3276">
        <w:rPr>
          <w:sz w:val="24"/>
          <w:szCs w:val="24"/>
        </w:rPr>
        <w:t xml:space="preserve"> </w:t>
      </w:r>
    </w:p>
    <w:p w:rsidR="001A7081" w:rsidRDefault="001A7081" w:rsidP="001A70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разходи за консултантски услуги за разработване на проектното предложение;</w:t>
      </w:r>
    </w:p>
    <w:p w:rsidR="00B94BE8" w:rsidRDefault="00B94BE8" w:rsidP="001A70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Pr>
          <w:sz w:val="24"/>
          <w:szCs w:val="24"/>
        </w:rPr>
        <w:t>разходи за одит и визуализация на проектното предложение;</w:t>
      </w:r>
    </w:p>
    <w:p w:rsidR="009C55CF" w:rsidRPr="00BD3276" w:rsidRDefault="00C07138" w:rsidP="001A70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862AF1">
        <w:rPr>
          <w:sz w:val="24"/>
          <w:szCs w:val="24"/>
        </w:rPr>
        <w:t xml:space="preserve">• разходи за консултантски, </w:t>
      </w:r>
      <w:r w:rsidR="009C55CF" w:rsidRPr="00862AF1">
        <w:rPr>
          <w:sz w:val="24"/>
          <w:szCs w:val="24"/>
        </w:rPr>
        <w:t>юридически</w:t>
      </w:r>
      <w:r w:rsidRPr="00862AF1">
        <w:rPr>
          <w:sz w:val="24"/>
          <w:szCs w:val="24"/>
        </w:rPr>
        <w:t xml:space="preserve"> и счетоводни</w:t>
      </w:r>
      <w:r w:rsidR="009C55CF" w:rsidRPr="00862AF1">
        <w:rPr>
          <w:sz w:val="24"/>
          <w:szCs w:val="24"/>
        </w:rPr>
        <w:t xml:space="preserve"> услуги</w:t>
      </w:r>
      <w:r w:rsidR="002F50ED" w:rsidRPr="00862AF1">
        <w:rPr>
          <w:sz w:val="24"/>
          <w:szCs w:val="24"/>
        </w:rPr>
        <w:t xml:space="preserve"> от общ характер</w:t>
      </w:r>
      <w:r w:rsidRPr="00862AF1">
        <w:rPr>
          <w:sz w:val="24"/>
          <w:szCs w:val="24"/>
        </w:rPr>
        <w:t xml:space="preserve"> (различни от описаните е в т.13.1 от Насоките)</w:t>
      </w:r>
      <w:r w:rsidR="002F50ED" w:rsidRPr="00862AF1">
        <w:rPr>
          <w:sz w:val="24"/>
          <w:szCs w:val="24"/>
        </w:rPr>
        <w:t>;</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принос в натура;</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загуби от обмяна на валута;</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възстановим ДДС;</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 xml:space="preserve">разходи за </w:t>
      </w:r>
      <w:r w:rsidR="008F2988" w:rsidRPr="00BD3276">
        <w:rPr>
          <w:sz w:val="24"/>
          <w:szCs w:val="24"/>
        </w:rPr>
        <w:t xml:space="preserve">суровини, </w:t>
      </w:r>
      <w:r w:rsidR="00670ACD" w:rsidRPr="00BD3276">
        <w:rPr>
          <w:sz w:val="24"/>
          <w:szCs w:val="24"/>
        </w:rPr>
        <w:t xml:space="preserve">материали, </w:t>
      </w:r>
      <w:r w:rsidR="008F2988" w:rsidRPr="00BD3276">
        <w:rPr>
          <w:sz w:val="24"/>
          <w:szCs w:val="24"/>
        </w:rPr>
        <w:t xml:space="preserve">полуобработени компоненти, </w:t>
      </w:r>
      <w:r w:rsidR="00670ACD" w:rsidRPr="00BD3276">
        <w:rPr>
          <w:sz w:val="24"/>
          <w:szCs w:val="24"/>
        </w:rPr>
        <w:t>консумативи за производството</w:t>
      </w:r>
      <w:r w:rsidR="00FF6F61" w:rsidRPr="00BD3276">
        <w:rPr>
          <w:sz w:val="24"/>
          <w:szCs w:val="24"/>
        </w:rPr>
        <w:t xml:space="preserve">, </w:t>
      </w:r>
      <w:r w:rsidR="008F2988" w:rsidRPr="00BD3276">
        <w:rPr>
          <w:sz w:val="24"/>
          <w:szCs w:val="24"/>
        </w:rPr>
        <w:t>резервни части</w:t>
      </w:r>
      <w:r w:rsidR="00670ACD" w:rsidRPr="00BD3276">
        <w:rPr>
          <w:sz w:val="24"/>
          <w:szCs w:val="24"/>
        </w:rPr>
        <w:t>;</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човешки ресурси (включително за персонал, назначен за изпълнение на проекта);</w:t>
      </w:r>
    </w:p>
    <w:p w:rsidR="00670ACD" w:rsidRPr="00BD3276" w:rsidRDefault="008D7C6A" w:rsidP="00670ACD">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разходи за командировки на персонала на бенефициента;</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закриване на неконкурентоспособни въглищни мини;</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транспортна и енергийна инфраструктура;</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извеждането от експлоатация или изграждането на атомни електроцентрали;</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инвестиции за постигане на намаляване на емисиите на парникови газове от дейности, изброени в приложение I към Директива 2003/87/ЕО;</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производството, обработката и продажбата на тютюн и тютюневи изделия;</w:t>
      </w:r>
    </w:p>
    <w:p w:rsidR="00D43EC9" w:rsidRPr="00BD3276" w:rsidRDefault="00D43EC9" w:rsidP="00D43EC9">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w:t>
      </w:r>
      <w:r w:rsidR="00D938A7" w:rsidRPr="00BD3276">
        <w:rPr>
          <w:sz w:val="24"/>
          <w:szCs w:val="24"/>
        </w:rPr>
        <w:t xml:space="preserve"> </w:t>
      </w:r>
      <w:r w:rsidRPr="00BD3276">
        <w:rPr>
          <w:sz w:val="24"/>
          <w:szCs w:val="24"/>
        </w:rPr>
        <w:t>разходи за инвестиции в летищна инфраструктура</w:t>
      </w:r>
      <w:r w:rsidR="00D938A7" w:rsidRPr="00BD3276">
        <w:rPr>
          <w:sz w:val="24"/>
          <w:szCs w:val="24"/>
        </w:rPr>
        <w:t>;</w:t>
      </w:r>
    </w:p>
    <w:p w:rsidR="00941981" w:rsidRDefault="00941981" w:rsidP="009419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862AF1">
        <w:rPr>
          <w:sz w:val="24"/>
          <w:szCs w:val="24"/>
        </w:rPr>
        <w:t>• разходи за дейности по проекти, чието изпълнение е стартирало преди подписването на договора за безвъзмездна финансова помощ</w:t>
      </w:r>
      <w:r w:rsidR="00322691" w:rsidRPr="00862AF1">
        <w:rPr>
          <w:sz w:val="24"/>
          <w:szCs w:val="24"/>
        </w:rPr>
        <w:t xml:space="preserve"> - с изключение на предоставен сключен </w:t>
      </w:r>
      <w:r w:rsidR="00322691" w:rsidRPr="00862AF1">
        <w:rPr>
          <w:sz w:val="24"/>
          <w:szCs w:val="24"/>
        </w:rPr>
        <w:lastRenderedPageBreak/>
        <w:t>договор за прехвърляне на права по интелектуална собственост, удостоверяващ, че за внедряването на определен продукт(стока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w:t>
      </w:r>
      <w:r w:rsidR="001E31C4" w:rsidRPr="00862AF1">
        <w:rPr>
          <w:sz w:val="24"/>
          <w:szCs w:val="24"/>
        </w:rPr>
        <w:t xml:space="preserve">. Посоченото изключение е приложимо, при условие че договорът не съдържа </w:t>
      </w:r>
      <w:proofErr w:type="spellStart"/>
      <w:r w:rsidR="001E31C4" w:rsidRPr="00862AF1">
        <w:rPr>
          <w:sz w:val="24"/>
          <w:szCs w:val="24"/>
        </w:rPr>
        <w:t>правнообвързващ</w:t>
      </w:r>
      <w:proofErr w:type="spellEnd"/>
      <w:r w:rsidR="001E31C4" w:rsidRPr="00862AF1">
        <w:rPr>
          <w:sz w:val="24"/>
          <w:szCs w:val="24"/>
        </w:rPr>
        <w:t xml:space="preserve"> ангажимент, който прави инвестицията (придобиването на правото по интелектуална собствено</w:t>
      </w:r>
      <w:r w:rsidR="00595186" w:rsidRPr="00862AF1">
        <w:rPr>
          <w:sz w:val="24"/>
          <w:szCs w:val="24"/>
        </w:rPr>
        <w:t>ст</w:t>
      </w:r>
      <w:r w:rsidR="001E31C4" w:rsidRPr="00862AF1">
        <w:rPr>
          <w:sz w:val="24"/>
          <w:szCs w:val="24"/>
        </w:rPr>
        <w:t>) преди подаване</w:t>
      </w:r>
      <w:r w:rsidR="001E31C4">
        <w:rPr>
          <w:sz w:val="24"/>
          <w:szCs w:val="24"/>
        </w:rPr>
        <w:t xml:space="preserve"> на проектното предложение </w:t>
      </w:r>
      <w:r w:rsidR="001E31C4" w:rsidRPr="009E0EEC">
        <w:rPr>
          <w:sz w:val="24"/>
          <w:szCs w:val="24"/>
        </w:rPr>
        <w:t>необратима</w:t>
      </w:r>
      <w:r w:rsidR="001E31C4">
        <w:rPr>
          <w:sz w:val="24"/>
          <w:szCs w:val="24"/>
        </w:rPr>
        <w:t xml:space="preserve">. Договорът не би съдържал описания </w:t>
      </w:r>
      <w:proofErr w:type="spellStart"/>
      <w:r w:rsidR="001E31C4">
        <w:rPr>
          <w:sz w:val="24"/>
          <w:szCs w:val="24"/>
        </w:rPr>
        <w:t>правнообвързващ</w:t>
      </w:r>
      <w:proofErr w:type="spellEnd"/>
      <w:r w:rsidR="001E31C4">
        <w:rPr>
          <w:sz w:val="24"/>
          <w:szCs w:val="24"/>
        </w:rPr>
        <w:t xml:space="preserve"> ангажимент, когато прекратяването на договора няма да доведе до значителни загуби за кандидата и когато съдържа клауза съгласно която същият влиза в сила след и при условие на подаването/одобрението на проектното предложение по настоящата процедур</w:t>
      </w:r>
      <w:r w:rsidR="001E31C4" w:rsidRPr="00794245">
        <w:rPr>
          <w:sz w:val="24"/>
          <w:szCs w:val="24"/>
        </w:rPr>
        <w:t>а</w:t>
      </w:r>
      <w:r w:rsidRPr="00794245">
        <w:rPr>
          <w:sz w:val="24"/>
          <w:szCs w:val="24"/>
        </w:rPr>
        <w:t>;</w:t>
      </w:r>
    </w:p>
    <w:p w:rsidR="00695294" w:rsidRPr="00BD3276" w:rsidRDefault="00695294" w:rsidP="00941981">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разходи за </w:t>
      </w:r>
      <w:r w:rsidRPr="00695294">
        <w:rPr>
          <w:sz w:val="24"/>
          <w:szCs w:val="24"/>
        </w:rPr>
        <w:t>придобиването на товарни автомобили за сухопътен транспорт</w:t>
      </w:r>
      <w:r>
        <w:rPr>
          <w:sz w:val="24"/>
          <w:szCs w:val="24"/>
        </w:rPr>
        <w:t>;</w:t>
      </w:r>
    </w:p>
    <w:p w:rsidR="00670ACD" w:rsidRPr="00BD3276" w:rsidRDefault="008D7C6A" w:rsidP="009D442F">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670ACD" w:rsidRPr="00BD3276">
        <w:rPr>
          <w:sz w:val="24"/>
          <w:szCs w:val="24"/>
        </w:rPr>
        <w:t>всички разходи, които не попадат в обхвата на допустимите дейности по настоящата процедура</w:t>
      </w:r>
      <w:r w:rsidR="009A029A" w:rsidRPr="00BD3276">
        <w:rPr>
          <w:sz w:val="24"/>
          <w:szCs w:val="24"/>
        </w:rPr>
        <w:t>,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sidR="00670ACD" w:rsidRPr="00BD3276">
        <w:rPr>
          <w:sz w:val="24"/>
          <w:szCs w:val="24"/>
        </w:rPr>
        <w:t>.</w:t>
      </w:r>
    </w:p>
    <w:p w:rsidR="007D52B1" w:rsidRDefault="007D52B1" w:rsidP="002E627B">
      <w:pPr>
        <w:pStyle w:val="Heading2"/>
        <w:rPr>
          <w:lang w:val="en-US"/>
        </w:rPr>
      </w:pPr>
      <w:bookmarkStart w:id="23" w:name="_Toc418791454"/>
    </w:p>
    <w:p w:rsidR="00051B15" w:rsidRPr="00BD3276" w:rsidRDefault="00CB14EE" w:rsidP="002E627B">
      <w:pPr>
        <w:pStyle w:val="Heading2"/>
      </w:pPr>
      <w:r w:rsidRPr="00BD3276">
        <w:t>1</w:t>
      </w:r>
      <w:r w:rsidR="00F7626C" w:rsidRPr="00BD3276">
        <w:t>5</w:t>
      </w:r>
      <w:r w:rsidRPr="00BD3276">
        <w:t>. Допустими целеви групи</w:t>
      </w:r>
      <w:r w:rsidR="00051B15" w:rsidRPr="00BD3276">
        <w:t>:</w:t>
      </w:r>
      <w:bookmarkEnd w:id="23"/>
    </w:p>
    <w:p w:rsidR="00F4378A" w:rsidRDefault="00F4378A" w:rsidP="00051B15">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sidRPr="00F4378A">
        <w:rPr>
          <w:sz w:val="24"/>
          <w:szCs w:val="24"/>
        </w:rPr>
        <w:t xml:space="preserve">По процедурата ще бъде приложена специфична тематична фокусираност в съответствие с приоритетите на ИСИС. По настоящата процедура ще се подкрепят изключително </w:t>
      </w:r>
      <w:r w:rsidR="005F7650">
        <w:rPr>
          <w:sz w:val="24"/>
          <w:szCs w:val="24"/>
        </w:rPr>
        <w:t>проекти, чието изпълнение</w:t>
      </w:r>
      <w:r w:rsidR="005F7650" w:rsidRPr="00BB0408">
        <w:rPr>
          <w:sz w:val="24"/>
          <w:szCs w:val="24"/>
        </w:rPr>
        <w:t xml:space="preserve"> води до пазарна реализация на продукт</w:t>
      </w:r>
      <w:r w:rsidR="005F7650">
        <w:rPr>
          <w:sz w:val="24"/>
          <w:szCs w:val="24"/>
        </w:rPr>
        <w:t xml:space="preserve"> (стока или услуга) или процес, попадащи</w:t>
      </w:r>
      <w:r w:rsidR="005F7650" w:rsidRPr="00BB0408">
        <w:rPr>
          <w:sz w:val="24"/>
          <w:szCs w:val="24"/>
        </w:rPr>
        <w:t xml:space="preserve"> в рамките на изброените по-долу приоритетни направления на тематичните области</w:t>
      </w:r>
      <w:r w:rsidR="005F7650" w:rsidRPr="00F4378A" w:rsidDel="005F7650">
        <w:rPr>
          <w:sz w:val="24"/>
          <w:szCs w:val="24"/>
        </w:rPr>
        <w:t xml:space="preserve"> </w:t>
      </w:r>
      <w:r w:rsidRPr="00F4378A">
        <w:rPr>
          <w:sz w:val="24"/>
          <w:szCs w:val="24"/>
        </w:rPr>
        <w:t>на ИСИС</w:t>
      </w:r>
      <w:r w:rsidR="00014B32" w:rsidRPr="00BD3276">
        <w:rPr>
          <w:sz w:val="24"/>
          <w:szCs w:val="24"/>
        </w:rPr>
        <w:t>.</w:t>
      </w:r>
    </w:p>
    <w:p w:rsidR="001D5B9A" w:rsidRPr="0003305B" w:rsidRDefault="001D5B9A" w:rsidP="001D5B9A">
      <w:pPr>
        <w:pStyle w:val="ListParagraph"/>
        <w:numPr>
          <w:ilvl w:val="0"/>
          <w:numId w:val="26"/>
        </w:numPr>
        <w:pBdr>
          <w:top w:val="single" w:sz="4" w:space="1" w:color="auto"/>
          <w:left w:val="single" w:sz="4" w:space="4" w:color="auto"/>
          <w:bottom w:val="single" w:sz="4" w:space="1" w:color="auto"/>
          <w:right w:val="single" w:sz="4" w:space="4" w:color="auto"/>
        </w:pBdr>
        <w:spacing w:before="240" w:after="120" w:line="240" w:lineRule="auto"/>
        <w:ind w:left="356" w:hanging="356"/>
        <w:contextualSpacing w:val="0"/>
        <w:jc w:val="both"/>
        <w:rPr>
          <w:b/>
          <w:sz w:val="24"/>
          <w:szCs w:val="24"/>
        </w:rPr>
      </w:pPr>
      <w:r w:rsidRPr="0003305B">
        <w:rPr>
          <w:b/>
          <w:sz w:val="24"/>
          <w:szCs w:val="24"/>
        </w:rPr>
        <w:t>ИКТ и информатика</w:t>
      </w:r>
      <w:r w:rsidRPr="0003305B">
        <w:rPr>
          <w:b/>
          <w:sz w:val="24"/>
          <w:szCs w:val="24"/>
          <w:lang w:val="en-US"/>
        </w:rPr>
        <w:t>:</w:t>
      </w:r>
      <w:r w:rsidRPr="0003305B">
        <w:rPr>
          <w:b/>
          <w:sz w:val="24"/>
          <w:szCs w:val="24"/>
        </w:rPr>
        <w:t xml:space="preserve"> </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производства, особено </w:t>
      </w:r>
      <w:proofErr w:type="spellStart"/>
      <w:r w:rsidRPr="0003305B">
        <w:rPr>
          <w:sz w:val="24"/>
          <w:szCs w:val="24"/>
        </w:rPr>
        <w:t>Fabless</w:t>
      </w:r>
      <w:proofErr w:type="spellEnd"/>
      <w:r w:rsidRPr="0003305B">
        <w:rPr>
          <w:sz w:val="24"/>
          <w:szCs w:val="24"/>
        </w:rPr>
        <w:t xml:space="preserve"> и нови подходи за дизайн и/или асемблиране;</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3D дигитализация, визуализация и </w:t>
      </w:r>
      <w:proofErr w:type="spellStart"/>
      <w:r w:rsidRPr="0003305B">
        <w:rPr>
          <w:sz w:val="24"/>
          <w:szCs w:val="24"/>
        </w:rPr>
        <w:t>прототипиране</w:t>
      </w:r>
      <w:proofErr w:type="spellEnd"/>
      <w:r w:rsidRPr="0003305B">
        <w:rPr>
          <w:sz w:val="24"/>
          <w:szCs w:val="24"/>
        </w:rPr>
        <w:t>;</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Big Data, </w:t>
      </w:r>
      <w:proofErr w:type="spellStart"/>
      <w:r w:rsidRPr="0003305B">
        <w:rPr>
          <w:sz w:val="24"/>
          <w:szCs w:val="24"/>
        </w:rPr>
        <w:t>Grid</w:t>
      </w:r>
      <w:proofErr w:type="spellEnd"/>
      <w:r w:rsidRPr="0003305B">
        <w:rPr>
          <w:sz w:val="24"/>
          <w:szCs w:val="24"/>
        </w:rPr>
        <w:t xml:space="preserve"> </w:t>
      </w:r>
      <w:proofErr w:type="spellStart"/>
      <w:r w:rsidRPr="0003305B">
        <w:rPr>
          <w:sz w:val="24"/>
          <w:szCs w:val="24"/>
        </w:rPr>
        <w:t>and</w:t>
      </w:r>
      <w:proofErr w:type="spellEnd"/>
      <w:r w:rsidRPr="0003305B">
        <w:rPr>
          <w:sz w:val="24"/>
          <w:szCs w:val="24"/>
        </w:rPr>
        <w:t xml:space="preserve"> </w:t>
      </w:r>
      <w:proofErr w:type="spellStart"/>
      <w:r w:rsidRPr="0003305B">
        <w:rPr>
          <w:sz w:val="24"/>
          <w:szCs w:val="24"/>
        </w:rPr>
        <w:t>Cloud</w:t>
      </w:r>
      <w:proofErr w:type="spellEnd"/>
      <w:r w:rsidRPr="0003305B">
        <w:rPr>
          <w:sz w:val="24"/>
          <w:szCs w:val="24"/>
        </w:rPr>
        <w:t xml:space="preserve"> Technologies;</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безжични сензорни мрежи и безжична комуникация/управление;</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езикови технологии;</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уеб, хибридни и "</w:t>
      </w:r>
      <w:proofErr w:type="spellStart"/>
      <w:r w:rsidRPr="0003305B">
        <w:rPr>
          <w:sz w:val="24"/>
          <w:szCs w:val="24"/>
        </w:rPr>
        <w:t>native</w:t>
      </w:r>
      <w:proofErr w:type="spellEnd"/>
      <w:r w:rsidRPr="0003305B">
        <w:rPr>
          <w:sz w:val="24"/>
          <w:szCs w:val="24"/>
        </w:rPr>
        <w:t>" приложения, уеб базирани приложения за създаване и експлоатиране на нови услуги и продукти;</w:t>
      </w:r>
    </w:p>
    <w:p w:rsidR="001D5B9A" w:rsidRPr="0003305B"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03305B">
        <w:rPr>
          <w:sz w:val="24"/>
          <w:szCs w:val="24"/>
        </w:rPr>
        <w:t xml:space="preserve">използване на нови възможности във връзка с </w:t>
      </w:r>
      <w:proofErr w:type="spellStart"/>
      <w:r w:rsidRPr="0003305B">
        <w:rPr>
          <w:sz w:val="24"/>
          <w:szCs w:val="24"/>
        </w:rPr>
        <w:t>аутсорсинг</w:t>
      </w:r>
      <w:proofErr w:type="spellEnd"/>
      <w:r w:rsidRPr="0003305B">
        <w:rPr>
          <w:sz w:val="24"/>
          <w:szCs w:val="24"/>
        </w:rPr>
        <w:t xml:space="preserve"> и ИКТ-базирани услуги и системи</w:t>
      </w:r>
      <w:r w:rsidRPr="0003305B">
        <w:rPr>
          <w:sz w:val="24"/>
          <w:szCs w:val="24"/>
          <w:lang w:val="en-US"/>
        </w:rPr>
        <w:t>.</w:t>
      </w:r>
    </w:p>
    <w:p w:rsidR="001D5B9A" w:rsidRPr="004773FF" w:rsidRDefault="001D5B9A" w:rsidP="001D5B9A">
      <w:pPr>
        <w:pBdr>
          <w:top w:val="single" w:sz="4" w:space="1" w:color="auto"/>
          <w:left w:val="single" w:sz="4" w:space="4" w:color="auto"/>
          <w:bottom w:val="single" w:sz="4" w:space="1" w:color="auto"/>
          <w:right w:val="single" w:sz="4" w:space="4" w:color="auto"/>
        </w:pBdr>
        <w:spacing w:before="240" w:after="120" w:line="240" w:lineRule="auto"/>
        <w:jc w:val="both"/>
        <w:rPr>
          <w:sz w:val="24"/>
          <w:szCs w:val="24"/>
        </w:rPr>
      </w:pPr>
      <w:r>
        <w:rPr>
          <w:sz w:val="24"/>
          <w:szCs w:val="24"/>
        </w:rPr>
        <w:t xml:space="preserve">•    </w:t>
      </w:r>
      <w:r w:rsidRPr="00DB3157">
        <w:rPr>
          <w:b/>
          <w:sz w:val="24"/>
          <w:szCs w:val="24"/>
        </w:rPr>
        <w:t>мехатроника и чисти технологии:</w:t>
      </w:r>
      <w:r w:rsidRPr="004773FF">
        <w:rPr>
          <w:sz w:val="24"/>
          <w:szCs w:val="24"/>
        </w:rPr>
        <w:t xml:space="preserve"> </w:t>
      </w:r>
    </w:p>
    <w:p w:rsidR="001D5B9A" w:rsidRPr="004773FF"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производство на базови елементи, детайли, възли и оборудване, вграждани като част от </w:t>
      </w:r>
      <w:proofErr w:type="spellStart"/>
      <w:r w:rsidRPr="004773FF">
        <w:rPr>
          <w:sz w:val="24"/>
          <w:szCs w:val="24"/>
        </w:rPr>
        <w:t>мехатронен</w:t>
      </w:r>
      <w:proofErr w:type="spellEnd"/>
      <w:r w:rsidRPr="004773FF">
        <w:rPr>
          <w:sz w:val="24"/>
          <w:szCs w:val="24"/>
        </w:rPr>
        <w:t xml:space="preserve"> агрегат или самостоятелно съставляващи такъв агрегат;</w:t>
      </w:r>
    </w:p>
    <w:p w:rsidR="001D5B9A" w:rsidRPr="004773FF"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lastRenderedPageBreak/>
        <w:t xml:space="preserve">машиностроене и </w:t>
      </w:r>
      <w:proofErr w:type="spellStart"/>
      <w:r w:rsidRPr="004773FF">
        <w:rPr>
          <w:sz w:val="24"/>
          <w:szCs w:val="24"/>
        </w:rPr>
        <w:t>уредостроене</w:t>
      </w:r>
      <w:proofErr w:type="spellEnd"/>
      <w:r w:rsidRPr="004773FF">
        <w:rPr>
          <w:sz w:val="24"/>
          <w:szCs w:val="24"/>
        </w:rPr>
        <w:t>, вкл. части, компоненти и системи, с акцент върху транспорта и енергетиката;</w:t>
      </w:r>
    </w:p>
    <w:p w:rsidR="001D5B9A" w:rsidRPr="004773FF"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инженеринг, </w:t>
      </w:r>
      <w:proofErr w:type="spellStart"/>
      <w:r w:rsidRPr="004773FF">
        <w:rPr>
          <w:sz w:val="24"/>
          <w:szCs w:val="24"/>
        </w:rPr>
        <w:t>реинженеринг</w:t>
      </w:r>
      <w:proofErr w:type="spellEnd"/>
      <w:r w:rsidRPr="004773FF">
        <w:rPr>
          <w:sz w:val="24"/>
          <w:szCs w:val="24"/>
        </w:rPr>
        <w:t xml:space="preserve"> и продължаване на жизнения цикъл на индустриални машини, уреди и системи;</w:t>
      </w:r>
    </w:p>
    <w:p w:rsidR="001D5B9A" w:rsidRPr="004773FF"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роботика и автоматизация на процеси;</w:t>
      </w:r>
    </w:p>
    <w:p w:rsidR="001D5B9A" w:rsidRPr="004773FF"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4773FF">
        <w:rPr>
          <w:sz w:val="24"/>
          <w:szCs w:val="24"/>
        </w:rPr>
        <w:t>аеро-космическата</w:t>
      </w:r>
      <w:proofErr w:type="spellEnd"/>
      <w:r w:rsidRPr="004773FF">
        <w:rPr>
          <w:sz w:val="24"/>
          <w:szCs w:val="24"/>
        </w:rPr>
        <w:t xml:space="preserve"> индустрия;</w:t>
      </w:r>
    </w:p>
    <w:p w:rsidR="001D5B9A" w:rsidRPr="0068384D"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68384D">
        <w:rPr>
          <w:sz w:val="24"/>
          <w:szCs w:val="24"/>
        </w:rPr>
        <w:t>био-мехатроника</w:t>
      </w:r>
      <w:proofErr w:type="spellEnd"/>
      <w:r w:rsidRPr="0068384D">
        <w:rPr>
          <w:sz w:val="24"/>
          <w:szCs w:val="24"/>
        </w:rPr>
        <w:t>;</w:t>
      </w:r>
    </w:p>
    <w:p w:rsidR="001D5B9A" w:rsidRPr="0068384D"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68384D">
        <w:rPr>
          <w:sz w:val="24"/>
          <w:szCs w:val="24"/>
        </w:rPr>
        <w:t>интелигентни системи и уреди, „интелигентни домове“ – „интелигентни градове“;</w:t>
      </w:r>
    </w:p>
    <w:p w:rsidR="001D5B9A"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4773FF">
        <w:rPr>
          <w:sz w:val="24"/>
          <w:szCs w:val="24"/>
        </w:rPr>
        <w:t xml:space="preserve">чисти технологии с акцент върху транспорта и енергетиката (съхранение, спестяване и ефективно разпределение на енергия, електрически превозни средства и </w:t>
      </w:r>
      <w:proofErr w:type="spellStart"/>
      <w:r w:rsidRPr="004773FF">
        <w:rPr>
          <w:sz w:val="24"/>
          <w:szCs w:val="24"/>
        </w:rPr>
        <w:t>еко-мобилност</w:t>
      </w:r>
      <w:proofErr w:type="spellEnd"/>
      <w:r w:rsidRPr="004773FF">
        <w:rPr>
          <w:sz w:val="24"/>
          <w:szCs w:val="24"/>
        </w:rPr>
        <w:t xml:space="preserve">, водород-базирани модели и технологии, безотпадни технологии, </w:t>
      </w:r>
      <w:proofErr w:type="spellStart"/>
      <w:r w:rsidRPr="004773FF">
        <w:rPr>
          <w:sz w:val="24"/>
          <w:szCs w:val="24"/>
        </w:rPr>
        <w:t>технологии</w:t>
      </w:r>
      <w:proofErr w:type="spellEnd"/>
      <w:r w:rsidRPr="004773FF">
        <w:rPr>
          <w:sz w:val="24"/>
          <w:szCs w:val="24"/>
        </w:rPr>
        <w:t xml:space="preserve"> и методи за включване на отпадъчни продукти и материали от производства в други производства).</w:t>
      </w:r>
    </w:p>
    <w:p w:rsidR="001D5B9A" w:rsidRPr="00DB3157" w:rsidRDefault="001D5B9A" w:rsidP="001D5B9A">
      <w:pPr>
        <w:pBdr>
          <w:top w:val="single" w:sz="4" w:space="1" w:color="auto"/>
          <w:left w:val="single" w:sz="4" w:space="4" w:color="auto"/>
          <w:bottom w:val="single" w:sz="4" w:space="1" w:color="auto"/>
          <w:right w:val="single" w:sz="4" w:space="4" w:color="auto"/>
        </w:pBdr>
        <w:spacing w:before="240" w:after="120" w:line="240" w:lineRule="auto"/>
        <w:jc w:val="both"/>
        <w:rPr>
          <w:b/>
          <w:sz w:val="24"/>
          <w:szCs w:val="24"/>
        </w:rPr>
      </w:pPr>
      <w:r>
        <w:rPr>
          <w:b/>
          <w:sz w:val="24"/>
          <w:szCs w:val="24"/>
        </w:rPr>
        <w:t xml:space="preserve">•    </w:t>
      </w:r>
      <w:r w:rsidRPr="00DB3157">
        <w:rPr>
          <w:b/>
          <w:sz w:val="24"/>
          <w:szCs w:val="24"/>
        </w:rPr>
        <w:t>индустрия за здравословен живот и биотехнологии</w:t>
      </w:r>
      <w:r w:rsidR="0010662B">
        <w:rPr>
          <w:rStyle w:val="FootnoteReference"/>
          <w:b/>
          <w:sz w:val="24"/>
          <w:szCs w:val="24"/>
        </w:rPr>
        <w:footnoteReference w:id="19"/>
      </w:r>
      <w:r w:rsidRPr="00DB3157">
        <w:rPr>
          <w:b/>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производство на специализирани храни и напитки (бебешки и детски, „космически“ храни)</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 xml:space="preserve">производство на инструменти, оборудване, консумативи за медицинска и </w:t>
      </w:r>
      <w:proofErr w:type="spellStart"/>
      <w:r w:rsidRPr="00DB3157">
        <w:rPr>
          <w:sz w:val="24"/>
          <w:szCs w:val="24"/>
        </w:rPr>
        <w:t>дентална</w:t>
      </w:r>
      <w:proofErr w:type="spellEnd"/>
      <w:r w:rsidRPr="00DB3157">
        <w:rPr>
          <w:sz w:val="24"/>
          <w:szCs w:val="24"/>
        </w:rPr>
        <w:t xml:space="preserve"> диагностика и терапия и/или участие в над-национална производствена верига</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персонална медицина, диагностика и индивидуална терапия, лечебни и лекарствени форми и средства</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медицински и лечебен туризъм с акцент върху възможностите за персонализация (немасов, а персонален туризъм)</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DB3157">
        <w:rPr>
          <w:sz w:val="24"/>
          <w:szCs w:val="24"/>
        </w:rPr>
        <w:t>нано-технологии</w:t>
      </w:r>
      <w:proofErr w:type="spellEnd"/>
      <w:r w:rsidRPr="00DB3157">
        <w:rPr>
          <w:sz w:val="24"/>
          <w:szCs w:val="24"/>
        </w:rPr>
        <w:t xml:space="preserve"> в услуга на медицината</w:t>
      </w:r>
      <w:r>
        <w:rPr>
          <w:sz w:val="24"/>
          <w:szCs w:val="24"/>
        </w:rPr>
        <w:t>;</w:t>
      </w:r>
    </w:p>
    <w:p w:rsidR="001D5B9A" w:rsidRPr="00DB3157"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proofErr w:type="spellStart"/>
      <w:r w:rsidRPr="00DB3157">
        <w:rPr>
          <w:sz w:val="24"/>
          <w:szCs w:val="24"/>
        </w:rPr>
        <w:t>био-технологии</w:t>
      </w:r>
      <w:proofErr w:type="spellEnd"/>
      <w:r w:rsidRPr="00DB3157">
        <w:rPr>
          <w:sz w:val="24"/>
          <w:szCs w:val="24"/>
        </w:rPr>
        <w:t xml:space="preserve"> с пряко приложение за здравословен начин на живот</w:t>
      </w:r>
      <w:r>
        <w:rPr>
          <w:sz w:val="24"/>
          <w:szCs w:val="24"/>
        </w:rPr>
        <w:t>;</w:t>
      </w:r>
    </w:p>
    <w:p w:rsidR="001D5B9A"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DB3157">
        <w:rPr>
          <w:sz w:val="24"/>
          <w:szCs w:val="24"/>
        </w:rPr>
        <w:t>„сини“ технологии и приложение на нови методи и технологии в устойчивото ползване на речни и морски ресурси</w:t>
      </w:r>
      <w:r w:rsidR="008F7A61">
        <w:rPr>
          <w:sz w:val="24"/>
          <w:szCs w:val="24"/>
        </w:rPr>
        <w:t>.</w:t>
      </w:r>
    </w:p>
    <w:p w:rsidR="001D5B9A" w:rsidRPr="00A3606D" w:rsidRDefault="001D5B9A" w:rsidP="001D5B9A">
      <w:pPr>
        <w:pBdr>
          <w:top w:val="single" w:sz="4" w:space="1" w:color="auto"/>
          <w:left w:val="single" w:sz="4" w:space="4" w:color="auto"/>
          <w:bottom w:val="single" w:sz="4" w:space="1" w:color="auto"/>
          <w:right w:val="single" w:sz="4" w:space="4" w:color="auto"/>
        </w:pBdr>
        <w:spacing w:before="240" w:after="120" w:line="240" w:lineRule="auto"/>
        <w:jc w:val="both"/>
        <w:rPr>
          <w:b/>
          <w:sz w:val="24"/>
          <w:szCs w:val="24"/>
        </w:rPr>
      </w:pPr>
      <w:r>
        <w:rPr>
          <w:b/>
          <w:sz w:val="24"/>
          <w:szCs w:val="24"/>
        </w:rPr>
        <w:t xml:space="preserve">•    </w:t>
      </w:r>
      <w:r w:rsidRPr="00A3606D">
        <w:rPr>
          <w:b/>
          <w:sz w:val="24"/>
          <w:szCs w:val="24"/>
        </w:rPr>
        <w:t>нови технологии в креативните и рекреативните индустрии:</w:t>
      </w:r>
    </w:p>
    <w:p w:rsidR="001D5B9A" w:rsidRPr="00A3606D"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културните и творческите индустрии (според дефиниция на ЕК: архитектура, архивно дело и библиотекарство, артистични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w:t>
      </w:r>
    </w:p>
    <w:p w:rsidR="001D5B9A" w:rsidRPr="00A3606D"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компютърни и мобилни приложения и игри с образователен, маркетинг и/или развлекателен характер;</w:t>
      </w:r>
    </w:p>
    <w:p w:rsidR="001D5B9A" w:rsidRPr="00A3606D"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lastRenderedPageBreak/>
        <w:t xml:space="preserve">алтернативен (селски, </w:t>
      </w:r>
      <w:proofErr w:type="spellStart"/>
      <w:r w:rsidRPr="00A3606D">
        <w:rPr>
          <w:sz w:val="24"/>
          <w:szCs w:val="24"/>
        </w:rPr>
        <w:t>еко-</w:t>
      </w:r>
      <w:proofErr w:type="spellEnd"/>
      <w:r w:rsidRPr="00A3606D">
        <w:rPr>
          <w:sz w:val="24"/>
          <w:szCs w:val="24"/>
        </w:rPr>
        <w:t xml:space="preserve">, културен и фестивален) и екстремен туризъм и спорт (за стимулиране на несезонен, немасов, а постоянен </w:t>
      </w:r>
      <w:proofErr w:type="spellStart"/>
      <w:r w:rsidRPr="00A3606D">
        <w:rPr>
          <w:sz w:val="24"/>
          <w:szCs w:val="24"/>
        </w:rPr>
        <w:t>нишов</w:t>
      </w:r>
      <w:proofErr w:type="spellEnd"/>
      <w:r w:rsidRPr="00A3606D">
        <w:rPr>
          <w:sz w:val="24"/>
          <w:szCs w:val="24"/>
        </w:rPr>
        <w:t xml:space="preserve"> туризъм);</w:t>
      </w:r>
    </w:p>
    <w:p w:rsidR="00272C2D" w:rsidRPr="001D5B9A" w:rsidRDefault="001D5B9A" w:rsidP="001D5B9A">
      <w:pPr>
        <w:pStyle w:val="ListParagraph"/>
        <w:numPr>
          <w:ilvl w:val="0"/>
          <w:numId w:val="28"/>
        </w:numPr>
        <w:pBdr>
          <w:top w:val="single" w:sz="4" w:space="1" w:color="auto"/>
          <w:left w:val="single" w:sz="4" w:space="4" w:color="auto"/>
          <w:bottom w:val="single" w:sz="4" w:space="1" w:color="auto"/>
          <w:right w:val="single" w:sz="4" w:space="4" w:color="auto"/>
        </w:pBdr>
        <w:spacing w:before="120" w:after="120" w:line="240" w:lineRule="auto"/>
        <w:ind w:left="357" w:hanging="357"/>
        <w:jc w:val="both"/>
        <w:rPr>
          <w:sz w:val="24"/>
          <w:szCs w:val="24"/>
        </w:rPr>
      </w:pPr>
      <w:r w:rsidRPr="00A3606D">
        <w:rPr>
          <w:sz w:val="24"/>
          <w:szCs w:val="24"/>
        </w:rPr>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A3606D">
        <w:rPr>
          <w:sz w:val="24"/>
          <w:szCs w:val="24"/>
        </w:rPr>
        <w:t>възстановки</w:t>
      </w:r>
      <w:proofErr w:type="spellEnd"/>
      <w:r w:rsidRPr="00A3606D">
        <w:rPr>
          <w:sz w:val="24"/>
          <w:szCs w:val="24"/>
        </w:rPr>
        <w:t>, специализирана екипировка и оборудване, печатни издания).</w:t>
      </w:r>
    </w:p>
    <w:p w:rsidR="001870F8" w:rsidRPr="00BD3276" w:rsidRDefault="001870F8" w:rsidP="004F166B">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b/>
          <w:sz w:val="24"/>
          <w:szCs w:val="24"/>
        </w:rPr>
      </w:pPr>
    </w:p>
    <w:p w:rsidR="00E90F91" w:rsidRPr="00BD3276" w:rsidRDefault="00E90F91" w:rsidP="002F534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Приоритет ще бъд</w:t>
      </w:r>
      <w:r w:rsidR="009B59ED">
        <w:rPr>
          <w:sz w:val="24"/>
          <w:szCs w:val="24"/>
        </w:rPr>
        <w:t>е даден на</w:t>
      </w:r>
      <w:r w:rsidR="0066215F">
        <w:rPr>
          <w:sz w:val="24"/>
          <w:szCs w:val="24"/>
        </w:rPr>
        <w:t xml:space="preserve"> проекти</w:t>
      </w:r>
      <w:r w:rsidR="00493887">
        <w:rPr>
          <w:sz w:val="24"/>
          <w:szCs w:val="24"/>
        </w:rPr>
        <w:t>, които</w:t>
      </w:r>
      <w:r w:rsidRPr="00BD3276">
        <w:rPr>
          <w:sz w:val="24"/>
          <w:szCs w:val="24"/>
        </w:rPr>
        <w:t>:</w:t>
      </w:r>
    </w:p>
    <w:p w:rsidR="00993F1D" w:rsidRPr="00BD3276" w:rsidRDefault="00993F1D" w:rsidP="002F534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F6722" w:rsidRDefault="00E90F91"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 </w:t>
      </w:r>
      <w:r w:rsidR="00C5537D">
        <w:rPr>
          <w:sz w:val="24"/>
          <w:szCs w:val="24"/>
        </w:rPr>
        <w:t>попадат в приоритетните тематични области, изведени</w:t>
      </w:r>
      <w:r w:rsidR="00493887" w:rsidRPr="00493887">
        <w:rPr>
          <w:sz w:val="24"/>
          <w:szCs w:val="24"/>
        </w:rPr>
        <w:t xml:space="preserve"> на база на регионалната специализация, заложена в окончателния вариант на ИСИС</w:t>
      </w:r>
      <w:r w:rsidR="008F6722">
        <w:rPr>
          <w:sz w:val="24"/>
          <w:szCs w:val="24"/>
        </w:rPr>
        <w:t>;</w:t>
      </w:r>
      <w:r w:rsidR="00C5537D">
        <w:rPr>
          <w:sz w:val="24"/>
          <w:szCs w:val="24"/>
        </w:rPr>
        <w:t xml:space="preserve"> </w:t>
      </w:r>
    </w:p>
    <w:p w:rsidR="00BC2060" w:rsidRDefault="00F658EE"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Проектът на ИСИС е</w:t>
      </w:r>
      <w:r w:rsidR="00BC2060">
        <w:rPr>
          <w:sz w:val="24"/>
          <w:szCs w:val="24"/>
        </w:rPr>
        <w:t xml:space="preserve"> </w:t>
      </w:r>
      <w:r w:rsidR="0065451E">
        <w:rPr>
          <w:sz w:val="24"/>
          <w:szCs w:val="24"/>
        </w:rPr>
        <w:t xml:space="preserve">одобрен от Министерски съвет на 28.10.2015 г. с Решение №……… </w:t>
      </w:r>
      <w:r>
        <w:rPr>
          <w:sz w:val="24"/>
          <w:szCs w:val="24"/>
        </w:rPr>
        <w:t xml:space="preserve">Съгласно одобрения вариант на ИСИС, </w:t>
      </w:r>
      <w:r w:rsidR="00BC2060">
        <w:rPr>
          <w:sz w:val="24"/>
          <w:szCs w:val="24"/>
        </w:rPr>
        <w:t>публикуван на страницат</w:t>
      </w:r>
      <w:r w:rsidR="0065451E">
        <w:rPr>
          <w:sz w:val="24"/>
          <w:szCs w:val="24"/>
        </w:rPr>
        <w:t>а на Министерство на икономиката</w:t>
      </w:r>
      <w:r w:rsidR="00BC2060">
        <w:rPr>
          <w:sz w:val="24"/>
          <w:szCs w:val="24"/>
        </w:rPr>
        <w:t xml:space="preserve"> (</w:t>
      </w:r>
      <w:hyperlink r:id="rId9" w:history="1">
        <w:r w:rsidR="00BC2060" w:rsidRPr="009E017C">
          <w:rPr>
            <w:rStyle w:val="Hyperlink"/>
            <w:sz w:val="24"/>
            <w:szCs w:val="24"/>
          </w:rPr>
          <w:t>http://www.mi.government.bg/bg/themes/inovacionna-strategiya-za-inteligentna-specializaciya-na-republika-balgariya-2014-2020-g-i-proces-na-i-1470-0.html</w:t>
        </w:r>
      </w:hyperlink>
      <w:r w:rsidR="00BC2060">
        <w:rPr>
          <w:sz w:val="24"/>
          <w:szCs w:val="24"/>
        </w:rPr>
        <w:t>)</w:t>
      </w:r>
      <w:r>
        <w:rPr>
          <w:sz w:val="24"/>
          <w:szCs w:val="24"/>
        </w:rPr>
        <w:t>,</w:t>
      </w:r>
      <w:r w:rsidR="00BC2060">
        <w:rPr>
          <w:sz w:val="24"/>
          <w:szCs w:val="24"/>
        </w:rPr>
        <w:t xml:space="preserve"> </w:t>
      </w:r>
      <w:r w:rsidR="003C1356">
        <w:rPr>
          <w:sz w:val="24"/>
          <w:szCs w:val="24"/>
        </w:rPr>
        <w:t>са определени следните приоритетни тематични области:</w:t>
      </w:r>
    </w:p>
    <w:p w:rsidR="00DC4730" w:rsidRDefault="00DC4730"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tbl>
      <w:tblPr>
        <w:tblStyle w:val="TableGrid"/>
        <w:tblW w:w="0" w:type="auto"/>
        <w:tblLook w:val="04A0" w:firstRow="1" w:lastRow="0" w:firstColumn="1" w:lastColumn="0" w:noHBand="0" w:noVBand="1"/>
      </w:tblPr>
      <w:tblGrid>
        <w:gridCol w:w="1596"/>
        <w:gridCol w:w="1596"/>
        <w:gridCol w:w="1595"/>
        <w:gridCol w:w="1595"/>
        <w:gridCol w:w="1595"/>
        <w:gridCol w:w="1595"/>
      </w:tblGrid>
      <w:tr w:rsidR="00FD6D30" w:rsidTr="00FD6D30">
        <w:tc>
          <w:tcPr>
            <w:tcW w:w="1582" w:type="dxa"/>
          </w:tcPr>
          <w:p w:rsidR="00FD6D30" w:rsidRPr="00F62751" w:rsidRDefault="00FD6D30"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СЗР</w:t>
            </w:r>
          </w:p>
        </w:tc>
        <w:tc>
          <w:tcPr>
            <w:tcW w:w="1582" w:type="dxa"/>
          </w:tcPr>
          <w:p w:rsidR="00FD6D30" w:rsidRPr="00F62751" w:rsidRDefault="00FD6D30"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СЦР</w:t>
            </w:r>
          </w:p>
        </w:tc>
        <w:tc>
          <w:tcPr>
            <w:tcW w:w="1583" w:type="dxa"/>
          </w:tcPr>
          <w:p w:rsidR="00FD6D30" w:rsidRPr="00F62751" w:rsidRDefault="00FD6D30"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СИР</w:t>
            </w:r>
          </w:p>
        </w:tc>
        <w:tc>
          <w:tcPr>
            <w:tcW w:w="1583" w:type="dxa"/>
          </w:tcPr>
          <w:p w:rsidR="00FD6D30" w:rsidRPr="00F62751" w:rsidRDefault="00E51EA4"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ЮЗР</w:t>
            </w:r>
          </w:p>
        </w:tc>
        <w:tc>
          <w:tcPr>
            <w:tcW w:w="1583" w:type="dxa"/>
          </w:tcPr>
          <w:p w:rsidR="00FD6D30" w:rsidRPr="00F62751" w:rsidRDefault="00E51EA4"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ЮЦР</w:t>
            </w:r>
          </w:p>
        </w:tc>
        <w:tc>
          <w:tcPr>
            <w:tcW w:w="1583" w:type="dxa"/>
          </w:tcPr>
          <w:p w:rsidR="00FD6D30" w:rsidRPr="00F62751" w:rsidRDefault="00E51EA4" w:rsidP="00E51EA4">
            <w:pPr>
              <w:pStyle w:val="ListParagraph"/>
              <w:spacing w:after="360"/>
              <w:ind w:left="0"/>
              <w:jc w:val="center"/>
              <w:rPr>
                <w:rFonts w:asciiTheme="minorHAnsi" w:hAnsiTheme="minorHAnsi" w:cstheme="minorHAnsi"/>
                <w:b/>
                <w:sz w:val="22"/>
                <w:szCs w:val="22"/>
              </w:rPr>
            </w:pPr>
            <w:r w:rsidRPr="00F62751">
              <w:rPr>
                <w:rFonts w:asciiTheme="minorHAnsi" w:hAnsiTheme="minorHAnsi" w:cstheme="minorHAnsi"/>
                <w:b/>
                <w:sz w:val="22"/>
                <w:szCs w:val="22"/>
              </w:rPr>
              <w:t>ЮИР</w:t>
            </w:r>
          </w:p>
        </w:tc>
      </w:tr>
      <w:tr w:rsidR="00FD6D30" w:rsidTr="00DC4730">
        <w:trPr>
          <w:trHeight w:val="1457"/>
        </w:trPr>
        <w:tc>
          <w:tcPr>
            <w:tcW w:w="1582" w:type="dxa"/>
          </w:tcPr>
          <w:p w:rsidR="00FD6D30" w:rsidRPr="00F62751" w:rsidRDefault="00E51EA4" w:rsidP="00185FF2">
            <w:pPr>
              <w:pStyle w:val="ListParagraph"/>
              <w:spacing w:after="360"/>
              <w:ind w:left="0"/>
              <w:jc w:val="center"/>
              <w:rPr>
                <w:rFonts w:asciiTheme="minorHAnsi" w:hAnsiTheme="minorHAnsi" w:cstheme="minorHAnsi"/>
                <w:sz w:val="22"/>
                <w:szCs w:val="22"/>
              </w:rPr>
            </w:pPr>
            <w:proofErr w:type="spellStart"/>
            <w:r w:rsidRPr="00F62751">
              <w:rPr>
                <w:rFonts w:asciiTheme="minorHAnsi" w:hAnsiTheme="minorHAnsi" w:cstheme="minorHAnsi"/>
                <w:sz w:val="22"/>
                <w:szCs w:val="22"/>
              </w:rPr>
              <w:t>Мехатроника</w:t>
            </w:r>
            <w:proofErr w:type="spellEnd"/>
            <w:r w:rsidRPr="00F62751">
              <w:rPr>
                <w:rFonts w:asciiTheme="minorHAnsi" w:hAnsiTheme="minorHAnsi" w:cstheme="minorHAnsi"/>
                <w:sz w:val="22"/>
                <w:szCs w:val="22"/>
              </w:rPr>
              <w:t xml:space="preserve"> и чисти технологии</w:t>
            </w:r>
          </w:p>
        </w:tc>
        <w:tc>
          <w:tcPr>
            <w:tcW w:w="1582" w:type="dxa"/>
          </w:tcPr>
          <w:p w:rsidR="00FD6D30" w:rsidRPr="00F62751" w:rsidRDefault="00E51EA4" w:rsidP="00185FF2">
            <w:pPr>
              <w:pStyle w:val="ListParagraph"/>
              <w:spacing w:after="360"/>
              <w:ind w:left="0"/>
              <w:jc w:val="center"/>
              <w:rPr>
                <w:rFonts w:asciiTheme="minorHAnsi" w:hAnsiTheme="minorHAnsi" w:cstheme="minorHAnsi"/>
                <w:sz w:val="22"/>
                <w:szCs w:val="22"/>
                <w:lang w:val="en-US"/>
              </w:rPr>
            </w:pPr>
            <w:proofErr w:type="spellStart"/>
            <w:r w:rsidRPr="00F62751">
              <w:rPr>
                <w:rFonts w:asciiTheme="minorHAnsi" w:hAnsiTheme="minorHAnsi" w:cstheme="minorHAnsi"/>
                <w:sz w:val="22"/>
                <w:szCs w:val="22"/>
              </w:rPr>
              <w:t>Мехатроника</w:t>
            </w:r>
            <w:proofErr w:type="spellEnd"/>
            <w:r w:rsidRPr="00F62751">
              <w:rPr>
                <w:rFonts w:asciiTheme="minorHAnsi" w:hAnsiTheme="minorHAnsi" w:cstheme="minorHAnsi"/>
                <w:sz w:val="22"/>
                <w:szCs w:val="22"/>
              </w:rPr>
              <w:t xml:space="preserve"> и чисти технологии</w:t>
            </w:r>
          </w:p>
        </w:tc>
        <w:tc>
          <w:tcPr>
            <w:tcW w:w="1583" w:type="dxa"/>
          </w:tcPr>
          <w:p w:rsidR="00FD6D30" w:rsidRPr="00F62751" w:rsidRDefault="00E51EA4" w:rsidP="00185FF2">
            <w:pPr>
              <w:pStyle w:val="ListParagraph"/>
              <w:spacing w:after="360"/>
              <w:ind w:left="0"/>
              <w:jc w:val="center"/>
              <w:rPr>
                <w:rFonts w:asciiTheme="minorHAnsi" w:hAnsiTheme="minorHAnsi" w:cstheme="minorHAnsi"/>
                <w:sz w:val="22"/>
                <w:szCs w:val="22"/>
                <w:lang w:val="en-US"/>
              </w:rPr>
            </w:pPr>
            <w:proofErr w:type="spellStart"/>
            <w:r w:rsidRPr="00F62751">
              <w:rPr>
                <w:rFonts w:asciiTheme="minorHAnsi" w:hAnsiTheme="minorHAnsi" w:cstheme="minorHAnsi"/>
                <w:sz w:val="22"/>
                <w:szCs w:val="22"/>
              </w:rPr>
              <w:t>Мехатроника</w:t>
            </w:r>
            <w:proofErr w:type="spellEnd"/>
            <w:r w:rsidRPr="00F62751">
              <w:rPr>
                <w:rFonts w:asciiTheme="minorHAnsi" w:hAnsiTheme="minorHAnsi" w:cstheme="minorHAnsi"/>
                <w:sz w:val="22"/>
                <w:szCs w:val="22"/>
              </w:rPr>
              <w:t xml:space="preserve"> и чисти технологии</w:t>
            </w:r>
          </w:p>
        </w:tc>
        <w:tc>
          <w:tcPr>
            <w:tcW w:w="1583" w:type="dxa"/>
          </w:tcPr>
          <w:p w:rsidR="00FD6D30" w:rsidRPr="00F62751" w:rsidRDefault="00336F1F"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Информатика и ИКТ</w:t>
            </w:r>
          </w:p>
        </w:tc>
        <w:tc>
          <w:tcPr>
            <w:tcW w:w="1583" w:type="dxa"/>
          </w:tcPr>
          <w:p w:rsidR="00FD6D30" w:rsidRPr="00F62751" w:rsidRDefault="00336F1F" w:rsidP="00185FF2">
            <w:pPr>
              <w:pStyle w:val="ListParagraph"/>
              <w:spacing w:after="360"/>
              <w:ind w:left="0"/>
              <w:jc w:val="center"/>
              <w:rPr>
                <w:rFonts w:asciiTheme="minorHAnsi" w:hAnsiTheme="minorHAnsi" w:cstheme="minorHAnsi"/>
                <w:sz w:val="22"/>
                <w:szCs w:val="22"/>
              </w:rPr>
            </w:pPr>
            <w:r w:rsidRPr="00F62751">
              <w:rPr>
                <w:rFonts w:asciiTheme="minorHAnsi" w:hAnsiTheme="minorHAnsi" w:cstheme="minorHAnsi"/>
                <w:sz w:val="22"/>
                <w:szCs w:val="22"/>
              </w:rPr>
              <w:t>Информатика и ИКТ</w:t>
            </w:r>
          </w:p>
        </w:tc>
        <w:tc>
          <w:tcPr>
            <w:tcW w:w="1583" w:type="dxa"/>
          </w:tcPr>
          <w:p w:rsidR="00FD6D30" w:rsidRPr="00F62751" w:rsidRDefault="00336F1F"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Нови технологии в креативните и рекреативните индустрии</w:t>
            </w:r>
          </w:p>
        </w:tc>
      </w:tr>
      <w:tr w:rsidR="00185FF2" w:rsidTr="00FD6D30">
        <w:tc>
          <w:tcPr>
            <w:tcW w:w="1582" w:type="dxa"/>
          </w:tcPr>
          <w:p w:rsidR="00185FF2" w:rsidRPr="00F62751" w:rsidRDefault="00185FF2" w:rsidP="00185FF2">
            <w:pPr>
              <w:pStyle w:val="ListParagraph"/>
              <w:spacing w:after="360"/>
              <w:ind w:left="0"/>
              <w:jc w:val="center"/>
              <w:rPr>
                <w:rFonts w:asciiTheme="minorHAnsi" w:hAnsiTheme="minorHAnsi" w:cstheme="minorHAnsi"/>
                <w:sz w:val="22"/>
                <w:szCs w:val="22"/>
              </w:rPr>
            </w:pPr>
            <w:r w:rsidRPr="00F62751">
              <w:rPr>
                <w:rFonts w:asciiTheme="minorHAnsi" w:hAnsiTheme="minorHAnsi" w:cstheme="minorHAnsi"/>
                <w:sz w:val="22"/>
                <w:szCs w:val="22"/>
              </w:rPr>
              <w:t>Здравословен начин на живот и биотехнологии</w:t>
            </w:r>
          </w:p>
        </w:tc>
        <w:tc>
          <w:tcPr>
            <w:tcW w:w="1582"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Здравословен начин на живот и биотехнологии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Здравословен начин на живот и биотехнологии</w:t>
            </w:r>
          </w:p>
        </w:tc>
        <w:tc>
          <w:tcPr>
            <w:tcW w:w="1583" w:type="dxa"/>
          </w:tcPr>
          <w:p w:rsidR="00185FF2" w:rsidRPr="00F62751" w:rsidRDefault="00336F1F"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Нови технологии в креативните и рекреативните индустрии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proofErr w:type="spellStart"/>
            <w:r w:rsidRPr="00F62751">
              <w:rPr>
                <w:rFonts w:asciiTheme="minorHAnsi" w:hAnsiTheme="minorHAnsi" w:cstheme="minorHAnsi"/>
                <w:sz w:val="22"/>
                <w:szCs w:val="22"/>
              </w:rPr>
              <w:t>Мехатроника</w:t>
            </w:r>
            <w:proofErr w:type="spellEnd"/>
            <w:r w:rsidRPr="00F62751">
              <w:rPr>
                <w:rFonts w:asciiTheme="minorHAnsi" w:hAnsiTheme="minorHAnsi" w:cstheme="minorHAnsi"/>
                <w:sz w:val="22"/>
                <w:szCs w:val="22"/>
              </w:rPr>
              <w:t xml:space="preserve"> и чисти технологии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proofErr w:type="spellStart"/>
            <w:r w:rsidRPr="00F62751">
              <w:rPr>
                <w:rFonts w:asciiTheme="minorHAnsi" w:hAnsiTheme="minorHAnsi" w:cstheme="minorHAnsi"/>
                <w:sz w:val="22"/>
                <w:szCs w:val="22"/>
              </w:rPr>
              <w:t>Мехатроника</w:t>
            </w:r>
            <w:proofErr w:type="spellEnd"/>
            <w:r w:rsidRPr="00F62751">
              <w:rPr>
                <w:rFonts w:asciiTheme="minorHAnsi" w:hAnsiTheme="minorHAnsi" w:cstheme="minorHAnsi"/>
                <w:sz w:val="22"/>
                <w:szCs w:val="22"/>
              </w:rPr>
              <w:t xml:space="preserve"> и чисти технологии</w:t>
            </w:r>
          </w:p>
        </w:tc>
      </w:tr>
      <w:tr w:rsidR="00185FF2" w:rsidTr="00FD6D30">
        <w:tc>
          <w:tcPr>
            <w:tcW w:w="1582" w:type="dxa"/>
          </w:tcPr>
          <w:p w:rsidR="00185FF2" w:rsidRPr="00F62751" w:rsidRDefault="00336F1F" w:rsidP="00185FF2">
            <w:pPr>
              <w:pStyle w:val="ListParagraph"/>
              <w:spacing w:after="360"/>
              <w:ind w:left="0"/>
              <w:jc w:val="center"/>
              <w:rPr>
                <w:rFonts w:asciiTheme="minorHAnsi" w:hAnsiTheme="minorHAnsi" w:cstheme="minorHAnsi"/>
                <w:sz w:val="22"/>
                <w:szCs w:val="22"/>
              </w:rPr>
            </w:pPr>
            <w:r w:rsidRPr="00F62751">
              <w:rPr>
                <w:rFonts w:asciiTheme="minorHAnsi" w:hAnsiTheme="minorHAnsi" w:cstheme="minorHAnsi"/>
                <w:sz w:val="22"/>
                <w:szCs w:val="22"/>
              </w:rPr>
              <w:t>Нови технологии в креативните и рекреативните индустрии</w:t>
            </w:r>
          </w:p>
        </w:tc>
        <w:tc>
          <w:tcPr>
            <w:tcW w:w="1582" w:type="dxa"/>
          </w:tcPr>
          <w:p w:rsidR="00185FF2" w:rsidRPr="00F62751" w:rsidRDefault="00336F1F"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Информатика и ИКТ</w:t>
            </w:r>
          </w:p>
        </w:tc>
        <w:tc>
          <w:tcPr>
            <w:tcW w:w="1583" w:type="dxa"/>
          </w:tcPr>
          <w:p w:rsidR="00185FF2" w:rsidRPr="00F62751" w:rsidRDefault="00336F1F"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Нови технологии в креативните и рекреативните индустрии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Здравословен начин на живот и биотехнологии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Здравословен начин на живот и биотехнологии</w:t>
            </w:r>
          </w:p>
        </w:tc>
        <w:tc>
          <w:tcPr>
            <w:tcW w:w="1583" w:type="dxa"/>
          </w:tcPr>
          <w:p w:rsidR="00185FF2" w:rsidRPr="00F62751" w:rsidRDefault="00185FF2" w:rsidP="00185FF2">
            <w:pPr>
              <w:pStyle w:val="ListParagraph"/>
              <w:spacing w:after="360"/>
              <w:ind w:left="0"/>
              <w:jc w:val="center"/>
              <w:rPr>
                <w:rFonts w:asciiTheme="minorHAnsi" w:hAnsiTheme="minorHAnsi" w:cstheme="minorHAnsi"/>
                <w:sz w:val="22"/>
                <w:szCs w:val="22"/>
                <w:lang w:val="en-US"/>
              </w:rPr>
            </w:pPr>
            <w:r w:rsidRPr="00F62751">
              <w:rPr>
                <w:rFonts w:asciiTheme="minorHAnsi" w:hAnsiTheme="minorHAnsi" w:cstheme="minorHAnsi"/>
                <w:sz w:val="22"/>
                <w:szCs w:val="22"/>
              </w:rPr>
              <w:t>Здравословен начин на живот и биотехнологии</w:t>
            </w:r>
          </w:p>
        </w:tc>
      </w:tr>
    </w:tbl>
    <w:p w:rsidR="003C1356" w:rsidRDefault="003C1356"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lang w:val="en-US"/>
        </w:rPr>
      </w:pPr>
    </w:p>
    <w:p w:rsidR="002966E7" w:rsidRDefault="008F6722"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lang w:val="en-US"/>
        </w:rPr>
        <w:t xml:space="preserve">- </w:t>
      </w:r>
      <w:proofErr w:type="gramStart"/>
      <w:r w:rsidR="007B759D">
        <w:rPr>
          <w:sz w:val="24"/>
          <w:szCs w:val="24"/>
        </w:rPr>
        <w:t>се</w:t>
      </w:r>
      <w:proofErr w:type="gramEnd"/>
      <w:r w:rsidR="00C5537D" w:rsidRPr="00C5537D">
        <w:rPr>
          <w:sz w:val="24"/>
          <w:szCs w:val="24"/>
        </w:rPr>
        <w:t xml:space="preserve"> изпълнява</w:t>
      </w:r>
      <w:r w:rsidR="007B759D">
        <w:rPr>
          <w:sz w:val="24"/>
          <w:szCs w:val="24"/>
        </w:rPr>
        <w:t>т</w:t>
      </w:r>
      <w:r w:rsidR="00C5537D" w:rsidRPr="00C5537D">
        <w:rPr>
          <w:sz w:val="24"/>
          <w:szCs w:val="24"/>
        </w:rPr>
        <w:t xml:space="preserve"> на територията на Северозападния район за планиране в съответствие с предвиденото в Споразумението за партньорство прилагане на териториален подход за целенасочена подкрепа на този район</w:t>
      </w:r>
      <w:r>
        <w:rPr>
          <w:sz w:val="24"/>
          <w:szCs w:val="24"/>
        </w:rPr>
        <w:t>;</w:t>
      </w:r>
    </w:p>
    <w:p w:rsidR="00DC4747" w:rsidRDefault="00DC4747"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097E69" w:rsidRDefault="00DC4747"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 xml:space="preserve">ВАЖНО: </w:t>
      </w:r>
      <w:r w:rsidR="00BB1861">
        <w:rPr>
          <w:sz w:val="24"/>
          <w:szCs w:val="24"/>
        </w:rPr>
        <w:t>С оглед на коректната оценка на проектните предложения</w:t>
      </w:r>
      <w:r w:rsidR="0097629E">
        <w:rPr>
          <w:sz w:val="24"/>
          <w:szCs w:val="24"/>
        </w:rPr>
        <w:t xml:space="preserve"> по критерий </w:t>
      </w:r>
      <w:r w:rsidR="0028228B">
        <w:rPr>
          <w:sz w:val="24"/>
          <w:szCs w:val="24"/>
        </w:rPr>
        <w:t>„</w:t>
      </w:r>
      <w:r w:rsidR="0028228B" w:rsidRPr="0028228B">
        <w:rPr>
          <w:sz w:val="24"/>
          <w:szCs w:val="24"/>
        </w:rPr>
        <w:t>Регионална специализация съгласно ИСИС“ и</w:t>
      </w:r>
      <w:r w:rsidR="00BB1861">
        <w:rPr>
          <w:sz w:val="24"/>
          <w:szCs w:val="24"/>
        </w:rPr>
        <w:t xml:space="preserve"> критерий</w:t>
      </w:r>
      <w:r w:rsidR="0028228B" w:rsidRPr="0028228B">
        <w:rPr>
          <w:sz w:val="24"/>
          <w:szCs w:val="24"/>
        </w:rPr>
        <w:t xml:space="preserve"> „Регионална приоритизация за проекти, изпълнявани на територията на СЗР“</w:t>
      </w:r>
      <w:r w:rsidR="00F8071C">
        <w:rPr>
          <w:sz w:val="24"/>
          <w:szCs w:val="24"/>
        </w:rPr>
        <w:t>,</w:t>
      </w:r>
      <w:r w:rsidR="00086E45">
        <w:rPr>
          <w:sz w:val="24"/>
          <w:szCs w:val="24"/>
        </w:rPr>
        <w:t xml:space="preserve"> </w:t>
      </w:r>
      <w:r w:rsidR="0012489C">
        <w:rPr>
          <w:sz w:val="24"/>
          <w:szCs w:val="24"/>
        </w:rPr>
        <w:t>за район, където се изпълнява проектът се приема рай</w:t>
      </w:r>
      <w:r w:rsidR="00C97FC2">
        <w:rPr>
          <w:sz w:val="24"/>
          <w:szCs w:val="24"/>
        </w:rPr>
        <w:t xml:space="preserve">онът с най-голям дял на </w:t>
      </w:r>
      <w:r w:rsidR="00D41E5F">
        <w:rPr>
          <w:sz w:val="24"/>
          <w:szCs w:val="24"/>
        </w:rPr>
        <w:t>заложени</w:t>
      </w:r>
      <w:r w:rsidR="00C97FC2">
        <w:rPr>
          <w:sz w:val="24"/>
          <w:szCs w:val="24"/>
        </w:rPr>
        <w:t xml:space="preserve"> разходи по </w:t>
      </w:r>
      <w:r w:rsidR="00CE4667">
        <w:rPr>
          <w:sz w:val="24"/>
          <w:szCs w:val="24"/>
        </w:rPr>
        <w:t>Елемент А „Инвестиции“</w:t>
      </w:r>
      <w:r w:rsidR="00C97FC2">
        <w:rPr>
          <w:sz w:val="24"/>
          <w:szCs w:val="24"/>
        </w:rPr>
        <w:t>.</w:t>
      </w:r>
    </w:p>
    <w:p w:rsidR="00DC4747" w:rsidRPr="00BD3276" w:rsidRDefault="0097764F" w:rsidP="00C5537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4B1E63">
        <w:rPr>
          <w:sz w:val="24"/>
          <w:szCs w:val="24"/>
        </w:rPr>
        <w:lastRenderedPageBreak/>
        <w:t>Същ</w:t>
      </w:r>
      <w:r w:rsidR="00F0791C" w:rsidRPr="004B1E63">
        <w:rPr>
          <w:sz w:val="24"/>
          <w:szCs w:val="24"/>
        </w:rPr>
        <w:t>о така, закупените</w:t>
      </w:r>
      <w:r w:rsidR="00DC4747" w:rsidRPr="004B1E63">
        <w:rPr>
          <w:sz w:val="24"/>
          <w:szCs w:val="24"/>
        </w:rPr>
        <w:t xml:space="preserve"> по проекта дълготрайни матер</w:t>
      </w:r>
      <w:r w:rsidR="00F0791C" w:rsidRPr="004B1E63">
        <w:rPr>
          <w:sz w:val="24"/>
          <w:szCs w:val="24"/>
        </w:rPr>
        <w:t>иални и нематериални активи следва</w:t>
      </w:r>
      <w:r w:rsidR="00DC4747" w:rsidRPr="004B1E63">
        <w:rPr>
          <w:sz w:val="24"/>
          <w:szCs w:val="24"/>
        </w:rPr>
        <w:t xml:space="preserve"> да бъдат използвани в </w:t>
      </w:r>
      <w:r w:rsidR="00447B1A" w:rsidRPr="004B1E63">
        <w:rPr>
          <w:sz w:val="24"/>
          <w:szCs w:val="24"/>
        </w:rPr>
        <w:t>съответния</w:t>
      </w:r>
      <w:r w:rsidR="00DC4747" w:rsidRPr="004B1E63">
        <w:rPr>
          <w:sz w:val="24"/>
          <w:szCs w:val="24"/>
        </w:rPr>
        <w:t xml:space="preserve"> район и</w:t>
      </w:r>
      <w:r w:rsidR="00447B1A" w:rsidRPr="004B1E63">
        <w:rPr>
          <w:sz w:val="24"/>
          <w:szCs w:val="24"/>
        </w:rPr>
        <w:t xml:space="preserve"> да останат свързани с този рай</w:t>
      </w:r>
      <w:r w:rsidR="00DC4747" w:rsidRPr="004B1E63">
        <w:rPr>
          <w:sz w:val="24"/>
          <w:szCs w:val="24"/>
        </w:rPr>
        <w:t>он за срок от минимум три години за микро, малки и средни предприятия и за срок от 5 години за големи предприятия.</w:t>
      </w:r>
    </w:p>
    <w:p w:rsidR="00E90F91" w:rsidRPr="00BD3276" w:rsidRDefault="00E90F91" w:rsidP="00014B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93F1D" w:rsidRPr="00BD3276" w:rsidRDefault="00E90F91" w:rsidP="00014B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 </w:t>
      </w:r>
      <w:r w:rsidR="0066215F">
        <w:rPr>
          <w:sz w:val="24"/>
          <w:szCs w:val="24"/>
        </w:rPr>
        <w:t>включват</w:t>
      </w:r>
      <w:r w:rsidR="002966E7" w:rsidRPr="002966E7">
        <w:rPr>
          <w:sz w:val="24"/>
          <w:szCs w:val="24"/>
        </w:rPr>
        <w:t xml:space="preserve"> </w:t>
      </w:r>
      <w:r w:rsidR="00316EB5" w:rsidRPr="00316EB5">
        <w:rPr>
          <w:rFonts w:ascii="Calibri" w:eastAsia="Times New Roman" w:hAnsi="Calibri" w:cs="Calibri"/>
          <w:sz w:val="24"/>
          <w:szCs w:val="24"/>
          <w:lang w:eastAsia="pl-PL"/>
        </w:rPr>
        <w:t xml:space="preserve">надграждане на резултати по Рамковите програми на ЕС (вкл. ECSEL </w:t>
      </w:r>
      <w:proofErr w:type="spellStart"/>
      <w:r w:rsidR="00316EB5" w:rsidRPr="00316EB5">
        <w:rPr>
          <w:rFonts w:ascii="Calibri" w:eastAsia="Times New Roman" w:hAnsi="Calibri" w:cs="Calibri"/>
          <w:sz w:val="24"/>
          <w:szCs w:val="24"/>
          <w:lang w:eastAsia="pl-PL"/>
        </w:rPr>
        <w:t>Joint</w:t>
      </w:r>
      <w:proofErr w:type="spellEnd"/>
      <w:r w:rsidR="00316EB5" w:rsidRPr="00316EB5">
        <w:rPr>
          <w:rFonts w:ascii="Calibri" w:eastAsia="Times New Roman" w:hAnsi="Calibri" w:cs="Calibri"/>
          <w:sz w:val="24"/>
          <w:szCs w:val="24"/>
          <w:lang w:eastAsia="pl-PL"/>
        </w:rPr>
        <w:t xml:space="preserve"> </w:t>
      </w:r>
      <w:proofErr w:type="spellStart"/>
      <w:r w:rsidR="00316EB5" w:rsidRPr="00316EB5">
        <w:rPr>
          <w:rFonts w:ascii="Calibri" w:eastAsia="Times New Roman" w:hAnsi="Calibri" w:cs="Calibri"/>
          <w:sz w:val="24"/>
          <w:szCs w:val="24"/>
          <w:lang w:eastAsia="pl-PL"/>
        </w:rPr>
        <w:t>Undertaking</w:t>
      </w:r>
      <w:proofErr w:type="spellEnd"/>
      <w:r w:rsidR="00316EB5" w:rsidRPr="00316EB5">
        <w:rPr>
          <w:rFonts w:ascii="Calibri" w:eastAsia="Times New Roman" w:hAnsi="Calibri" w:cs="Calibri"/>
          <w:sz w:val="24"/>
          <w:szCs w:val="24"/>
          <w:lang w:eastAsia="pl-PL"/>
        </w:rPr>
        <w:t>)</w:t>
      </w:r>
      <w:r w:rsidR="00993F1D" w:rsidRPr="00BD3276">
        <w:rPr>
          <w:sz w:val="24"/>
          <w:szCs w:val="24"/>
        </w:rPr>
        <w:t>;</w:t>
      </w:r>
    </w:p>
    <w:p w:rsidR="00E90F91" w:rsidRPr="00BD3276" w:rsidRDefault="00E90F91" w:rsidP="00014B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24790" w:rsidRPr="00BD3276" w:rsidRDefault="00E90F91" w:rsidP="00014B3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 </w:t>
      </w:r>
      <w:r w:rsidR="0066215F">
        <w:rPr>
          <w:sz w:val="24"/>
          <w:szCs w:val="24"/>
        </w:rPr>
        <w:t xml:space="preserve">включват  </w:t>
      </w:r>
      <w:r w:rsidR="0066215F" w:rsidRPr="0066215F">
        <w:rPr>
          <w:sz w:val="24"/>
          <w:szCs w:val="24"/>
        </w:rPr>
        <w:t xml:space="preserve">дейности за внедряване на </w:t>
      </w:r>
      <w:proofErr w:type="spellStart"/>
      <w:r w:rsidR="0066215F" w:rsidRPr="0066215F">
        <w:rPr>
          <w:sz w:val="24"/>
          <w:szCs w:val="24"/>
        </w:rPr>
        <w:t>еко-иновации</w:t>
      </w:r>
      <w:proofErr w:type="spellEnd"/>
      <w:r w:rsidR="0066215F">
        <w:rPr>
          <w:rStyle w:val="FootnoteReference"/>
          <w:sz w:val="24"/>
          <w:szCs w:val="24"/>
        </w:rPr>
        <w:footnoteReference w:id="20"/>
      </w:r>
      <w:r w:rsidR="00624790" w:rsidRPr="00BD3276">
        <w:rPr>
          <w:sz w:val="24"/>
          <w:szCs w:val="24"/>
        </w:rPr>
        <w:t>.</w:t>
      </w:r>
    </w:p>
    <w:p w:rsidR="00CB14EE" w:rsidRPr="00BD3276" w:rsidRDefault="00CB14EE" w:rsidP="002325A3">
      <w:pPr>
        <w:pStyle w:val="ListParagraph"/>
        <w:spacing w:after="360" w:line="240" w:lineRule="auto"/>
        <w:ind w:left="0"/>
        <w:jc w:val="both"/>
        <w:rPr>
          <w:b/>
          <w:sz w:val="24"/>
          <w:szCs w:val="24"/>
        </w:rPr>
      </w:pPr>
    </w:p>
    <w:p w:rsidR="00F7626C" w:rsidRPr="00BD3276" w:rsidRDefault="00F7626C" w:rsidP="002E627B">
      <w:pPr>
        <w:pStyle w:val="Heading2"/>
        <w:spacing w:before="120" w:after="120"/>
      </w:pPr>
      <w:bookmarkStart w:id="24" w:name="_Toc418791455"/>
      <w:r w:rsidRPr="00AD10E0">
        <w:t>16. Приложим режим на минимални/държавни помощи:</w:t>
      </w:r>
      <w:bookmarkEnd w:id="24"/>
    </w:p>
    <w:p w:rsidR="00AA0F83" w:rsidRPr="00AA0F83" w:rsidRDefault="00AA0F83" w:rsidP="00F43BCE">
      <w:pPr>
        <w:pBdr>
          <w:top w:val="single" w:sz="4" w:space="1" w:color="auto"/>
          <w:left w:val="single" w:sz="4" w:space="4" w:color="auto"/>
          <w:bottom w:val="single" w:sz="4" w:space="1" w:color="auto"/>
          <w:right w:val="single" w:sz="4" w:space="4" w:color="auto"/>
        </w:pBdr>
        <w:spacing w:after="240" w:line="240" w:lineRule="auto"/>
        <w:rPr>
          <w:b/>
          <w:sz w:val="24"/>
          <w:szCs w:val="24"/>
        </w:rPr>
      </w:pPr>
      <w:r w:rsidRPr="00AA0F83">
        <w:rPr>
          <w:b/>
          <w:sz w:val="24"/>
          <w:szCs w:val="24"/>
        </w:rPr>
        <w:t>Елемент А „Инвестиции“</w:t>
      </w:r>
    </w:p>
    <w:p w:rsidR="00AA0F83" w:rsidRPr="00AA0F83" w:rsidRDefault="00F43BCE" w:rsidP="003A1EC4">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F43BCE">
        <w:rPr>
          <w:b/>
          <w:sz w:val="24"/>
          <w:szCs w:val="24"/>
        </w:rPr>
        <w:t>1)</w:t>
      </w:r>
      <w:r>
        <w:rPr>
          <w:sz w:val="24"/>
          <w:szCs w:val="24"/>
        </w:rPr>
        <w:t xml:space="preserve"> </w:t>
      </w:r>
      <w:r w:rsidR="00AA0F83" w:rsidRPr="00AB6379">
        <w:rPr>
          <w:b/>
          <w:sz w:val="24"/>
          <w:szCs w:val="24"/>
        </w:rPr>
        <w:t>Регионална инвестиционна помощ</w:t>
      </w:r>
      <w:r w:rsidR="00AA0F83" w:rsidRPr="00AA0F83">
        <w:rPr>
          <w:sz w:val="24"/>
          <w:szCs w:val="24"/>
        </w:rPr>
        <w:t xml:space="preserve"> съгласно чл. 13 и чл. 14 от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187/26.06.2014).</w:t>
      </w:r>
    </w:p>
    <w:p w:rsidR="00AA0F83" w:rsidRPr="00AA0F83" w:rsidRDefault="00AA0F83" w:rsidP="003A1EC4">
      <w:pPr>
        <w:pBdr>
          <w:top w:val="single" w:sz="4" w:space="1" w:color="auto"/>
          <w:left w:val="single" w:sz="4" w:space="4" w:color="auto"/>
          <w:bottom w:val="single" w:sz="4" w:space="1" w:color="auto"/>
          <w:right w:val="single" w:sz="4" w:space="4" w:color="auto"/>
        </w:pBdr>
        <w:spacing w:after="120" w:line="240" w:lineRule="auto"/>
        <w:rPr>
          <w:b/>
          <w:sz w:val="24"/>
          <w:szCs w:val="24"/>
        </w:rPr>
      </w:pPr>
      <w:r w:rsidRPr="00AA0F83">
        <w:rPr>
          <w:b/>
          <w:sz w:val="24"/>
          <w:szCs w:val="24"/>
        </w:rPr>
        <w:t>или</w:t>
      </w:r>
    </w:p>
    <w:p w:rsidR="00AA0F83" w:rsidRPr="00AA0F83" w:rsidRDefault="00F43BCE" w:rsidP="00F43BCE">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sidRPr="00F43BCE">
        <w:rPr>
          <w:b/>
          <w:sz w:val="24"/>
          <w:szCs w:val="24"/>
        </w:rPr>
        <w:t>2)</w:t>
      </w:r>
      <w:r>
        <w:rPr>
          <w:sz w:val="24"/>
          <w:szCs w:val="24"/>
        </w:rPr>
        <w:t xml:space="preserve"> </w:t>
      </w:r>
      <w:r w:rsidR="00AA0F83" w:rsidRPr="00AB6379">
        <w:rPr>
          <w:b/>
          <w:sz w:val="24"/>
          <w:szCs w:val="24"/>
        </w:rPr>
        <w:t>Помощ „</w:t>
      </w:r>
      <w:r w:rsidR="00AA0F83" w:rsidRPr="00AB6379">
        <w:rPr>
          <w:b/>
          <w:sz w:val="24"/>
          <w:szCs w:val="24"/>
          <w:lang w:val="en-US"/>
        </w:rPr>
        <w:t>de</w:t>
      </w:r>
      <w:r w:rsidR="00AA0F83" w:rsidRPr="00AB6379">
        <w:rPr>
          <w:b/>
          <w:sz w:val="24"/>
          <w:szCs w:val="24"/>
        </w:rPr>
        <w:t xml:space="preserve"> </w:t>
      </w:r>
      <w:r w:rsidR="00AA0F83" w:rsidRPr="00AB6379">
        <w:rPr>
          <w:b/>
          <w:sz w:val="24"/>
          <w:szCs w:val="24"/>
          <w:lang w:val="en-US"/>
        </w:rPr>
        <w:t>minimis”</w:t>
      </w:r>
      <w:r w:rsidR="00AA0F83" w:rsidRPr="00AA0F83">
        <w:rPr>
          <w:sz w:val="24"/>
          <w:szCs w:val="24"/>
        </w:rPr>
        <w:t xml:space="preserve"> съгласно Регламент (ЕС) № 1407/2013 на Комисията от 18 декември 2013 г. относно прилагането на членове 107 и 108 от Договора за функциониране на Европейския съюз към помощта „</w:t>
      </w:r>
      <w:r w:rsidR="00AA0F83" w:rsidRPr="00AA0F83">
        <w:rPr>
          <w:sz w:val="24"/>
          <w:szCs w:val="24"/>
          <w:lang w:val="en-US"/>
        </w:rPr>
        <w:t>de</w:t>
      </w:r>
      <w:r w:rsidR="00AA0F83" w:rsidRPr="00AA0F83">
        <w:rPr>
          <w:sz w:val="24"/>
          <w:szCs w:val="24"/>
        </w:rPr>
        <w:t xml:space="preserve"> </w:t>
      </w:r>
      <w:r w:rsidR="00AA0F83" w:rsidRPr="00AA0F83">
        <w:rPr>
          <w:sz w:val="24"/>
          <w:szCs w:val="24"/>
          <w:lang w:val="en-US"/>
        </w:rPr>
        <w:t>minimis</w:t>
      </w:r>
      <w:r w:rsidR="00AA0F83" w:rsidRPr="00AA0F83">
        <w:rPr>
          <w:sz w:val="24"/>
          <w:szCs w:val="24"/>
        </w:rPr>
        <w:t>“.</w:t>
      </w:r>
    </w:p>
    <w:p w:rsidR="00AA0F83" w:rsidRPr="009F4E91" w:rsidRDefault="009F4E91" w:rsidP="009F4E91">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sidRPr="009F4E91">
        <w:rPr>
          <w:b/>
          <w:sz w:val="24"/>
          <w:szCs w:val="24"/>
        </w:rPr>
        <w:t>ВАЖНО:</w:t>
      </w:r>
      <w:r w:rsidR="00AA0F83" w:rsidRPr="009F4E91">
        <w:rPr>
          <w:sz w:val="24"/>
          <w:szCs w:val="24"/>
        </w:rPr>
        <w:t xml:space="preserve"> По Елемент</w:t>
      </w:r>
      <w:r w:rsidR="004B2D84">
        <w:rPr>
          <w:sz w:val="24"/>
          <w:szCs w:val="24"/>
        </w:rPr>
        <w:t xml:space="preserve"> А</w:t>
      </w:r>
      <w:r w:rsidR="00AA0F83" w:rsidRPr="009F4E91">
        <w:rPr>
          <w:sz w:val="24"/>
          <w:szCs w:val="24"/>
        </w:rPr>
        <w:t xml:space="preserve"> „Инвестиции“ кандидатите по процедурата </w:t>
      </w:r>
      <w:r w:rsidR="00AA0F83" w:rsidRPr="00963D03">
        <w:rPr>
          <w:b/>
          <w:sz w:val="24"/>
          <w:szCs w:val="24"/>
        </w:rPr>
        <w:t>могат да избират прилож</w:t>
      </w:r>
      <w:r w:rsidRPr="00963D03">
        <w:rPr>
          <w:b/>
          <w:sz w:val="24"/>
          <w:szCs w:val="24"/>
        </w:rPr>
        <w:t>имия режим на държавни помощи</w:t>
      </w:r>
      <w:r>
        <w:rPr>
          <w:sz w:val="24"/>
          <w:szCs w:val="24"/>
        </w:rPr>
        <w:t xml:space="preserve"> (р</w:t>
      </w:r>
      <w:r w:rsidR="00AA0F83" w:rsidRPr="009F4E91">
        <w:rPr>
          <w:sz w:val="24"/>
          <w:szCs w:val="24"/>
        </w:rPr>
        <w:t>еги</w:t>
      </w:r>
      <w:r>
        <w:rPr>
          <w:sz w:val="24"/>
          <w:szCs w:val="24"/>
        </w:rPr>
        <w:t>онална инвестиционна помощ или п</w:t>
      </w:r>
      <w:r w:rsidR="00AA0F83" w:rsidRPr="009F4E91">
        <w:rPr>
          <w:sz w:val="24"/>
          <w:szCs w:val="24"/>
        </w:rPr>
        <w:t>омощ „</w:t>
      </w:r>
      <w:proofErr w:type="spellStart"/>
      <w:r w:rsidR="00AA0F83" w:rsidRPr="009F4E91">
        <w:rPr>
          <w:sz w:val="24"/>
          <w:szCs w:val="24"/>
        </w:rPr>
        <w:t>de</w:t>
      </w:r>
      <w:proofErr w:type="spellEnd"/>
      <w:r w:rsidR="00AA0F83" w:rsidRPr="009F4E91">
        <w:rPr>
          <w:sz w:val="24"/>
          <w:szCs w:val="24"/>
        </w:rPr>
        <w:t xml:space="preserve"> minimis”) в зависимост от нуждите си и спецификата на предложения проект.</w:t>
      </w:r>
    </w:p>
    <w:p w:rsidR="00733955" w:rsidRPr="00733955" w:rsidRDefault="00733955" w:rsidP="00733955">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33955">
        <w:rPr>
          <w:sz w:val="24"/>
          <w:szCs w:val="24"/>
        </w:rPr>
        <w:t>С</w:t>
      </w:r>
      <w:r w:rsidR="000C1D78" w:rsidRPr="00733955">
        <w:rPr>
          <w:sz w:val="24"/>
          <w:szCs w:val="24"/>
        </w:rPr>
        <w:t xml:space="preserve">лед публикуване на настоящите Насоки за кандидатстване не са допустими изменения, които могат да повлияят на съответствието на настоящата процедура с изискванията на </w:t>
      </w:r>
      <w:r w:rsidR="008662EB" w:rsidRPr="00733955">
        <w:rPr>
          <w:sz w:val="24"/>
          <w:szCs w:val="24"/>
        </w:rPr>
        <w:t>Регламент на Комисията (ЕС) № 651/2014</w:t>
      </w:r>
      <w:r>
        <w:rPr>
          <w:sz w:val="24"/>
          <w:szCs w:val="24"/>
        </w:rPr>
        <w:t xml:space="preserve"> и </w:t>
      </w:r>
      <w:r w:rsidRPr="00AA0F83">
        <w:rPr>
          <w:sz w:val="24"/>
          <w:szCs w:val="24"/>
        </w:rPr>
        <w:t xml:space="preserve">Регламент </w:t>
      </w:r>
      <w:r>
        <w:rPr>
          <w:sz w:val="24"/>
          <w:szCs w:val="24"/>
        </w:rPr>
        <w:t>на Комисията (ЕС) № 1407/2013</w:t>
      </w:r>
      <w:r w:rsidR="008662EB" w:rsidRPr="00733955">
        <w:rPr>
          <w:sz w:val="24"/>
          <w:szCs w:val="24"/>
        </w:rPr>
        <w:t>.</w:t>
      </w:r>
    </w:p>
    <w:p w:rsidR="00B524F0" w:rsidRDefault="000577ED" w:rsidP="00733955">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33955">
        <w:rPr>
          <w:sz w:val="24"/>
          <w:szCs w:val="24"/>
        </w:rPr>
        <w:t xml:space="preserve">Максималните </w:t>
      </w:r>
      <w:r w:rsidR="00CE35A3" w:rsidRPr="00733955">
        <w:rPr>
          <w:sz w:val="24"/>
          <w:szCs w:val="24"/>
        </w:rPr>
        <w:t>размери на</w:t>
      </w:r>
      <w:r w:rsidRPr="00733955">
        <w:rPr>
          <w:sz w:val="24"/>
          <w:szCs w:val="24"/>
        </w:rPr>
        <w:t xml:space="preserve"> помощ</w:t>
      </w:r>
      <w:r w:rsidR="00CE35A3" w:rsidRPr="00733955">
        <w:rPr>
          <w:sz w:val="24"/>
          <w:szCs w:val="24"/>
        </w:rPr>
        <w:t>та</w:t>
      </w:r>
      <w:r w:rsidRPr="00733955">
        <w:rPr>
          <w:sz w:val="24"/>
          <w:szCs w:val="24"/>
        </w:rPr>
        <w:t xml:space="preserve"> </w:t>
      </w:r>
      <w:r w:rsidR="00993B48">
        <w:rPr>
          <w:sz w:val="24"/>
          <w:szCs w:val="24"/>
        </w:rPr>
        <w:t xml:space="preserve">по посочения елемент </w:t>
      </w:r>
      <w:r w:rsidRPr="00733955">
        <w:rPr>
          <w:sz w:val="24"/>
          <w:szCs w:val="24"/>
        </w:rPr>
        <w:t xml:space="preserve">не могат да надхвърлят максимално допустимия размер на помощта по чл. 4, </w:t>
      </w:r>
      <w:proofErr w:type="spellStart"/>
      <w:r w:rsidRPr="00733955">
        <w:rPr>
          <w:sz w:val="24"/>
          <w:szCs w:val="24"/>
        </w:rPr>
        <w:t>пар</w:t>
      </w:r>
      <w:proofErr w:type="spellEnd"/>
      <w:r w:rsidRPr="00733955">
        <w:rPr>
          <w:sz w:val="24"/>
          <w:szCs w:val="24"/>
        </w:rPr>
        <w:t xml:space="preserve">. 1, буква „а“ и за един и същ бенефициент на равнище група по чл. 14, </w:t>
      </w:r>
      <w:proofErr w:type="spellStart"/>
      <w:r w:rsidRPr="00733955">
        <w:rPr>
          <w:sz w:val="24"/>
          <w:szCs w:val="24"/>
        </w:rPr>
        <w:t>пар</w:t>
      </w:r>
      <w:proofErr w:type="spellEnd"/>
      <w:r w:rsidRPr="00733955">
        <w:rPr>
          <w:sz w:val="24"/>
          <w:szCs w:val="24"/>
        </w:rPr>
        <w:t>. 13 от Регламент на Комисията (ЕС) № 651/2014.</w:t>
      </w:r>
    </w:p>
    <w:p w:rsidR="005C64E6" w:rsidRPr="00733955" w:rsidRDefault="005C64E6" w:rsidP="00733955">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A666DD">
        <w:rPr>
          <w:rFonts w:ascii="Calibri" w:eastAsia="Calibri" w:hAnsi="Calibri" w:cs="Times New Roman"/>
          <w:bCs/>
          <w:sz w:val="24"/>
          <w:szCs w:val="24"/>
        </w:rPr>
        <w:t>Максималният размер</w:t>
      </w:r>
      <w:r>
        <w:rPr>
          <w:rFonts w:ascii="Calibri" w:eastAsia="Calibri" w:hAnsi="Calibri" w:cs="Times New Roman"/>
          <w:bCs/>
          <w:sz w:val="24"/>
          <w:szCs w:val="24"/>
        </w:rPr>
        <w:t xml:space="preserve"> на помощта по </w:t>
      </w:r>
      <w:r w:rsidR="00993B48">
        <w:rPr>
          <w:rFonts w:ascii="Calibri" w:eastAsia="Calibri" w:hAnsi="Calibri" w:cs="Times New Roman"/>
          <w:bCs/>
          <w:sz w:val="24"/>
          <w:szCs w:val="24"/>
        </w:rPr>
        <w:t>посочения елемент</w:t>
      </w:r>
      <w:r w:rsidRPr="00A666DD">
        <w:rPr>
          <w:rFonts w:ascii="Calibri" w:eastAsia="Calibri" w:hAnsi="Calibri" w:cs="Times New Roman"/>
          <w:bCs/>
          <w:sz w:val="24"/>
          <w:szCs w:val="24"/>
        </w:rPr>
        <w:t xml:space="preserve"> за едно и също предприятие</w:t>
      </w:r>
      <w:r w:rsidRPr="00A666DD">
        <w:rPr>
          <w:rFonts w:ascii="Calibri" w:eastAsia="Calibri" w:hAnsi="Calibri" w:cs="Times New Roman"/>
          <w:bCs/>
          <w:sz w:val="24"/>
          <w:szCs w:val="24"/>
          <w:vertAlign w:val="superscript"/>
        </w:rPr>
        <w:footnoteReference w:id="21"/>
      </w:r>
      <w:r w:rsidRPr="00A666DD">
        <w:rPr>
          <w:rFonts w:ascii="Calibri" w:eastAsia="Calibri" w:hAnsi="Calibri" w:cs="Times New Roman"/>
          <w:bCs/>
          <w:sz w:val="24"/>
          <w:szCs w:val="24"/>
        </w:rPr>
        <w:t xml:space="preserve"> заедно с другите получени минимални помощи, не може да надхвърля левовата равностойност на 200 000 евро за период от три бюджетни години</w:t>
      </w:r>
      <w:r>
        <w:rPr>
          <w:rFonts w:ascii="Calibri" w:eastAsia="Calibri" w:hAnsi="Calibri" w:cs="Times New Roman"/>
          <w:bCs/>
          <w:sz w:val="24"/>
          <w:szCs w:val="24"/>
        </w:rPr>
        <w:t>.</w:t>
      </w:r>
    </w:p>
    <w:p w:rsidR="00A65630" w:rsidRPr="00A65630" w:rsidRDefault="00A65630" w:rsidP="00A6563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A65630">
        <w:rPr>
          <w:sz w:val="24"/>
          <w:szCs w:val="24"/>
        </w:rPr>
        <w:lastRenderedPageBreak/>
        <w:t>При избран режим регионална помощ и ако проектното предложение е за основна промяна в целия производствен процес на съществуващ стопански обект, допустимите разходи трябва да надхвърлят амортизацията на активите, свързани с дейността, която предстои да бъде модернизирана, през предходните три финансови години.</w:t>
      </w:r>
    </w:p>
    <w:p w:rsidR="00A65630" w:rsidRPr="00A65630" w:rsidRDefault="00A65630" w:rsidP="00A6563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A65630">
        <w:rPr>
          <w:sz w:val="24"/>
          <w:szCs w:val="24"/>
        </w:rPr>
        <w:t>При избран режим регионална помощ и ако проектното предложение е за диверсификация на съществуващ стопански обект с продукти, които не са били произвеждани до момента в стопанския обект, допустимите разходи трябва да надхвърлят с поне 200 % счетоводната стойност на активите, които се използват повторно, както са осчетоводени през финансовата година преди започването на работата по проекта.</w:t>
      </w:r>
    </w:p>
    <w:p w:rsidR="00290FC9" w:rsidRPr="00A65630" w:rsidRDefault="00290FC9" w:rsidP="00A65630">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733955">
        <w:rPr>
          <w:sz w:val="24"/>
          <w:szCs w:val="24"/>
        </w:rPr>
        <w:t xml:space="preserve">Всеки договор за предоставяне на безвъзмездна финансова помощ по настоящата процедура (схема за регионална инвестиционна помощ) </w:t>
      </w:r>
      <w:r w:rsidRPr="008A6935">
        <w:rPr>
          <w:sz w:val="24"/>
          <w:szCs w:val="24"/>
        </w:rPr>
        <w:t>представлява индивидуална помощ по смисъла</w:t>
      </w:r>
      <w:r w:rsidRPr="00733955">
        <w:rPr>
          <w:sz w:val="24"/>
          <w:szCs w:val="24"/>
        </w:rPr>
        <w:t xml:space="preserve"> на чл. 2, </w:t>
      </w:r>
      <w:proofErr w:type="spellStart"/>
      <w:r w:rsidRPr="00733955">
        <w:rPr>
          <w:sz w:val="24"/>
          <w:szCs w:val="24"/>
        </w:rPr>
        <w:t>пар</w:t>
      </w:r>
      <w:proofErr w:type="spellEnd"/>
      <w:r w:rsidRPr="00733955">
        <w:rPr>
          <w:sz w:val="24"/>
          <w:szCs w:val="24"/>
        </w:rPr>
        <w:t>. 14, ii) от Регламент на Комисията (ЕС) № 651/2014.</w:t>
      </w:r>
    </w:p>
    <w:p w:rsidR="00A65630" w:rsidRPr="00A65630" w:rsidRDefault="00A65630" w:rsidP="002B6D78">
      <w:pPr>
        <w:pBdr>
          <w:top w:val="single" w:sz="4" w:space="1" w:color="auto"/>
          <w:left w:val="single" w:sz="4" w:space="4" w:color="auto"/>
          <w:bottom w:val="single" w:sz="4" w:space="1" w:color="auto"/>
          <w:right w:val="single" w:sz="4" w:space="4" w:color="auto"/>
        </w:pBdr>
        <w:spacing w:before="240" w:after="240" w:line="240" w:lineRule="auto"/>
        <w:rPr>
          <w:b/>
          <w:sz w:val="24"/>
          <w:szCs w:val="24"/>
        </w:rPr>
      </w:pPr>
      <w:r w:rsidRPr="00A65630">
        <w:rPr>
          <w:b/>
          <w:sz w:val="24"/>
          <w:szCs w:val="24"/>
        </w:rPr>
        <w:t>Елемент Б „Услуги“</w:t>
      </w:r>
    </w:p>
    <w:p w:rsidR="00A65630" w:rsidRDefault="002B6D78" w:rsidP="002B6D78">
      <w:pPr>
        <w:pBdr>
          <w:top w:val="single" w:sz="4" w:space="1" w:color="auto"/>
          <w:left w:val="single" w:sz="4" w:space="4" w:color="auto"/>
          <w:bottom w:val="single" w:sz="4" w:space="1" w:color="auto"/>
          <w:right w:val="single" w:sz="4" w:space="4" w:color="auto"/>
        </w:pBdr>
        <w:spacing w:after="240" w:line="240" w:lineRule="auto"/>
        <w:jc w:val="both"/>
        <w:rPr>
          <w:b/>
          <w:sz w:val="24"/>
          <w:szCs w:val="24"/>
        </w:rPr>
      </w:pPr>
      <w:r w:rsidRPr="002B6D78">
        <w:rPr>
          <w:b/>
          <w:sz w:val="24"/>
          <w:szCs w:val="24"/>
        </w:rPr>
        <w:t>1)</w:t>
      </w:r>
      <w:r>
        <w:rPr>
          <w:sz w:val="24"/>
          <w:szCs w:val="24"/>
        </w:rPr>
        <w:t xml:space="preserve"> </w:t>
      </w:r>
      <w:r w:rsidR="00A65630" w:rsidRPr="00AB6379">
        <w:rPr>
          <w:b/>
          <w:sz w:val="24"/>
          <w:szCs w:val="24"/>
        </w:rPr>
        <w:t>Помощ за иновации в полза на МСП</w:t>
      </w:r>
      <w:r w:rsidR="00A65630" w:rsidRPr="002B6D78">
        <w:rPr>
          <w:sz w:val="24"/>
          <w:szCs w:val="24"/>
        </w:rPr>
        <w:t xml:space="preserve"> съгласно чл.28</w:t>
      </w:r>
      <w:r w:rsidR="00A65630" w:rsidRPr="002B6D78">
        <w:rPr>
          <w:sz w:val="24"/>
          <w:szCs w:val="24"/>
          <w:lang w:val="en-US"/>
        </w:rPr>
        <w:t xml:space="preserve">, </w:t>
      </w:r>
      <w:proofErr w:type="spellStart"/>
      <w:r w:rsidR="00A65630" w:rsidRPr="002B6D78">
        <w:rPr>
          <w:sz w:val="24"/>
          <w:szCs w:val="24"/>
        </w:rPr>
        <w:t>пар</w:t>
      </w:r>
      <w:proofErr w:type="spellEnd"/>
      <w:r w:rsidR="00A65630" w:rsidRPr="002B6D78">
        <w:rPr>
          <w:sz w:val="24"/>
          <w:szCs w:val="24"/>
        </w:rPr>
        <w:t>. 4 от 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w:t>
      </w:r>
      <w:r>
        <w:rPr>
          <w:sz w:val="24"/>
          <w:szCs w:val="24"/>
        </w:rPr>
        <w:t xml:space="preserve"> Договора (OB L 187/26.06.2014), </w:t>
      </w:r>
      <w:r w:rsidRPr="002B6D78">
        <w:rPr>
          <w:b/>
          <w:sz w:val="24"/>
          <w:szCs w:val="24"/>
        </w:rPr>
        <w:t>приложим за</w:t>
      </w:r>
      <w:r w:rsidR="00A65630" w:rsidRPr="002B6D78">
        <w:rPr>
          <w:b/>
          <w:sz w:val="24"/>
          <w:szCs w:val="24"/>
        </w:rPr>
        <w:t xml:space="preserve"> ми</w:t>
      </w:r>
      <w:r>
        <w:rPr>
          <w:b/>
          <w:sz w:val="24"/>
          <w:szCs w:val="24"/>
        </w:rPr>
        <w:t>кро, малки и средни предприятия.</w:t>
      </w:r>
    </w:p>
    <w:p w:rsidR="00E2728C" w:rsidRPr="00E2728C" w:rsidRDefault="00E2728C" w:rsidP="002B6D78">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E2728C">
        <w:rPr>
          <w:sz w:val="24"/>
          <w:szCs w:val="24"/>
        </w:rPr>
        <w:t xml:space="preserve">Максималният размер на помощта по посочения елемент не може да надхвърля прага по чл.28, </w:t>
      </w:r>
      <w:proofErr w:type="spellStart"/>
      <w:r w:rsidRPr="00E2728C">
        <w:rPr>
          <w:sz w:val="24"/>
          <w:szCs w:val="24"/>
        </w:rPr>
        <w:t>пар</w:t>
      </w:r>
      <w:proofErr w:type="spellEnd"/>
      <w:r w:rsidRPr="00E2728C">
        <w:rPr>
          <w:sz w:val="24"/>
          <w:szCs w:val="24"/>
        </w:rPr>
        <w:t>. 4 от Регламент (ЕС) № 651/2014 – левовата равностойност на 200 000 евро за предприятие за всеки тригодишен период.</w:t>
      </w:r>
    </w:p>
    <w:p w:rsidR="00E622C0" w:rsidRDefault="002B6D78" w:rsidP="00E622C0">
      <w:pPr>
        <w:pStyle w:val="ListParagraph"/>
        <w:pBdr>
          <w:top w:val="single" w:sz="4" w:space="1" w:color="auto"/>
          <w:left w:val="single" w:sz="4" w:space="4" w:color="auto"/>
          <w:bottom w:val="single" w:sz="4" w:space="1" w:color="auto"/>
          <w:right w:val="single" w:sz="4" w:space="4" w:color="auto"/>
        </w:pBdr>
        <w:spacing w:after="240" w:line="240" w:lineRule="auto"/>
        <w:ind w:left="0"/>
        <w:jc w:val="both"/>
        <w:rPr>
          <w:b/>
          <w:sz w:val="24"/>
          <w:szCs w:val="24"/>
        </w:rPr>
      </w:pPr>
      <w:r w:rsidRPr="002B6D78">
        <w:rPr>
          <w:b/>
          <w:sz w:val="24"/>
          <w:szCs w:val="24"/>
        </w:rPr>
        <w:t>2)</w:t>
      </w:r>
      <w:r>
        <w:rPr>
          <w:sz w:val="24"/>
          <w:szCs w:val="24"/>
        </w:rPr>
        <w:t xml:space="preserve"> </w:t>
      </w:r>
      <w:r w:rsidR="00A65630" w:rsidRPr="00AB6379">
        <w:rPr>
          <w:b/>
          <w:sz w:val="24"/>
          <w:szCs w:val="24"/>
        </w:rPr>
        <w:t>Помощ „</w:t>
      </w:r>
      <w:r w:rsidR="00A65630" w:rsidRPr="00AB6379">
        <w:rPr>
          <w:b/>
          <w:sz w:val="24"/>
          <w:szCs w:val="24"/>
          <w:lang w:val="en-US"/>
        </w:rPr>
        <w:t>d</w:t>
      </w:r>
      <w:r w:rsidR="00A65630" w:rsidRPr="00AB6379">
        <w:rPr>
          <w:b/>
          <w:sz w:val="24"/>
          <w:szCs w:val="24"/>
        </w:rPr>
        <w:t>e minimis“</w:t>
      </w:r>
      <w:r w:rsidR="00A65630" w:rsidRPr="00A65630">
        <w:rPr>
          <w:sz w:val="24"/>
          <w:szCs w:val="24"/>
        </w:rPr>
        <w:t xml:space="preserve"> съгласно Регламент (ЕС) № 1407/2013 на Комисията от 18 декември 2013 г. относно прилагането на членове 107 и 108 от Договора за функциониране на Европейския съюз към помощта „</w:t>
      </w:r>
      <w:proofErr w:type="spellStart"/>
      <w:r w:rsidR="00A65630" w:rsidRPr="00A65630">
        <w:rPr>
          <w:sz w:val="24"/>
          <w:szCs w:val="24"/>
        </w:rPr>
        <w:t>de</w:t>
      </w:r>
      <w:proofErr w:type="spellEnd"/>
      <w:r w:rsidR="00A65630" w:rsidRPr="00A65630">
        <w:rPr>
          <w:sz w:val="24"/>
          <w:szCs w:val="24"/>
        </w:rPr>
        <w:t xml:space="preserve"> minimis</w:t>
      </w:r>
      <w:r>
        <w:rPr>
          <w:sz w:val="24"/>
          <w:szCs w:val="24"/>
        </w:rPr>
        <w:t xml:space="preserve">“, </w:t>
      </w:r>
      <w:r w:rsidRPr="002B6D78">
        <w:rPr>
          <w:b/>
          <w:sz w:val="24"/>
          <w:szCs w:val="24"/>
        </w:rPr>
        <w:t>приложим з</w:t>
      </w:r>
      <w:r>
        <w:rPr>
          <w:b/>
          <w:sz w:val="24"/>
          <w:szCs w:val="24"/>
        </w:rPr>
        <w:t>а големи предприятия.</w:t>
      </w:r>
    </w:p>
    <w:p w:rsidR="00E622C0" w:rsidRDefault="00E2728C" w:rsidP="00E622C0">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E2728C">
        <w:rPr>
          <w:sz w:val="24"/>
          <w:szCs w:val="24"/>
        </w:rPr>
        <w:t xml:space="preserve">Максималният размер на помощта по </w:t>
      </w:r>
      <w:r w:rsidR="00E622C0">
        <w:rPr>
          <w:sz w:val="24"/>
          <w:szCs w:val="24"/>
        </w:rPr>
        <w:t>посочения</w:t>
      </w:r>
      <w:r w:rsidRPr="00E2728C">
        <w:rPr>
          <w:sz w:val="24"/>
          <w:szCs w:val="24"/>
        </w:rPr>
        <w:t xml:space="preserve"> елемент за едно и също предприятие заедно другите получени минимални помощи, не може да надхвърля левовата равностойност на 200 000 евро за период от три бюджетни години. </w:t>
      </w:r>
    </w:p>
    <w:p w:rsidR="00AD10E0" w:rsidRDefault="009827C9" w:rsidP="00D008C0">
      <w:pPr>
        <w:pBdr>
          <w:top w:val="single" w:sz="4" w:space="1" w:color="auto"/>
          <w:left w:val="single" w:sz="4" w:space="4" w:color="auto"/>
          <w:bottom w:val="single" w:sz="4" w:space="1" w:color="auto"/>
          <w:right w:val="single" w:sz="4" w:space="4" w:color="auto"/>
        </w:pBdr>
        <w:spacing w:after="240" w:line="240" w:lineRule="auto"/>
        <w:jc w:val="both"/>
      </w:pPr>
      <w:r w:rsidRPr="009827C9">
        <w:rPr>
          <w:b/>
          <w:sz w:val="24"/>
          <w:szCs w:val="24"/>
        </w:rPr>
        <w:t>ВАЖНО:</w:t>
      </w:r>
      <w:r>
        <w:rPr>
          <w:sz w:val="24"/>
          <w:szCs w:val="24"/>
        </w:rPr>
        <w:t xml:space="preserve"> </w:t>
      </w:r>
      <w:r w:rsidR="00E2728C" w:rsidRPr="00E2728C">
        <w:rPr>
          <w:sz w:val="24"/>
          <w:szCs w:val="24"/>
        </w:rPr>
        <w:t>В случай че се прилага режим „</w:t>
      </w:r>
      <w:proofErr w:type="spellStart"/>
      <w:r w:rsidR="00E2728C" w:rsidRPr="00E2728C">
        <w:rPr>
          <w:sz w:val="24"/>
          <w:szCs w:val="24"/>
        </w:rPr>
        <w:t>de</w:t>
      </w:r>
      <w:proofErr w:type="spellEnd"/>
      <w:r w:rsidR="00E2728C" w:rsidRPr="00E2728C">
        <w:rPr>
          <w:sz w:val="24"/>
          <w:szCs w:val="24"/>
        </w:rPr>
        <w:t xml:space="preserve"> minimis” и по двата елемента, то посоченият праг </w:t>
      </w:r>
      <w:r>
        <w:rPr>
          <w:sz w:val="24"/>
          <w:szCs w:val="24"/>
        </w:rPr>
        <w:t xml:space="preserve">от </w:t>
      </w:r>
      <w:r w:rsidRPr="00E2728C">
        <w:rPr>
          <w:sz w:val="24"/>
          <w:szCs w:val="24"/>
        </w:rPr>
        <w:t xml:space="preserve">200 000 евро за период от три бюджетни години </w:t>
      </w:r>
      <w:r w:rsidR="00E2728C" w:rsidRPr="00E2728C">
        <w:rPr>
          <w:sz w:val="24"/>
          <w:szCs w:val="24"/>
        </w:rPr>
        <w:t>се прилага към размера на помощта общо по двата елемента.</w:t>
      </w:r>
    </w:p>
    <w:p w:rsidR="009C3F59" w:rsidRPr="00414807" w:rsidRDefault="009C3F59" w:rsidP="009C3F5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Данните за получени държавни помощи следва да бъдат надлежно посочени от кандид</w:t>
      </w:r>
      <w:r w:rsidR="00A412A2" w:rsidRPr="00BD3276">
        <w:rPr>
          <w:sz w:val="24"/>
          <w:szCs w:val="24"/>
        </w:rPr>
        <w:t>атите в „Декларация за държавни</w:t>
      </w:r>
      <w:r w:rsidR="00BA2BA3">
        <w:rPr>
          <w:sz w:val="24"/>
          <w:szCs w:val="24"/>
        </w:rPr>
        <w:t>/минимални</w:t>
      </w:r>
      <w:r w:rsidRPr="00BD3276">
        <w:rPr>
          <w:sz w:val="24"/>
          <w:szCs w:val="24"/>
        </w:rPr>
        <w:t xml:space="preserve"> помощи”, попълнена по образец (</w:t>
      </w:r>
      <w:r w:rsidRPr="00414807">
        <w:rPr>
          <w:sz w:val="24"/>
          <w:szCs w:val="24"/>
        </w:rPr>
        <w:t xml:space="preserve">Приложение </w:t>
      </w:r>
      <w:r w:rsidR="00414807" w:rsidRPr="00414807">
        <w:rPr>
          <w:sz w:val="24"/>
          <w:szCs w:val="24"/>
        </w:rPr>
        <w:t>Д</w:t>
      </w:r>
      <w:r w:rsidRPr="00414807">
        <w:rPr>
          <w:sz w:val="24"/>
          <w:szCs w:val="24"/>
        </w:rPr>
        <w:t xml:space="preserve"> към Насоките за кандидатстване). Държавната помощ се счита за получена от момента на сключване на договора за нейното предоставяне или от датата на издаване на друг приложим документ, който дава на кандидата юридическото право да я </w:t>
      </w:r>
      <w:r w:rsidRPr="00414807">
        <w:rPr>
          <w:sz w:val="24"/>
          <w:szCs w:val="24"/>
        </w:rPr>
        <w:lastRenderedPageBreak/>
        <w:t>п</w:t>
      </w:r>
      <w:r w:rsidR="00A412A2" w:rsidRPr="00414807">
        <w:rPr>
          <w:sz w:val="24"/>
          <w:szCs w:val="24"/>
        </w:rPr>
        <w:t>олучи. Декларацията за държавни</w:t>
      </w:r>
      <w:r w:rsidR="003A1C8A" w:rsidRPr="00414807">
        <w:rPr>
          <w:sz w:val="24"/>
          <w:szCs w:val="24"/>
        </w:rPr>
        <w:t>/минимални</w:t>
      </w:r>
      <w:r w:rsidRPr="00414807">
        <w:rPr>
          <w:sz w:val="24"/>
          <w:szCs w:val="24"/>
        </w:rPr>
        <w:t xml:space="preserve">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w:t>
      </w:r>
    </w:p>
    <w:p w:rsidR="00A412A2" w:rsidRPr="00414807" w:rsidRDefault="00A412A2" w:rsidP="009C3F5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C3F59" w:rsidRPr="00BD3276" w:rsidRDefault="009C3F59" w:rsidP="009C3F5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414807">
        <w:rPr>
          <w:sz w:val="24"/>
          <w:szCs w:val="24"/>
        </w:rPr>
        <w:t>При определяне дали е спазен максимално допустимия</w:t>
      </w:r>
      <w:r w:rsidR="006028C9" w:rsidRPr="00414807">
        <w:rPr>
          <w:sz w:val="24"/>
          <w:szCs w:val="24"/>
        </w:rPr>
        <w:t>т</w:t>
      </w:r>
      <w:r w:rsidRPr="00414807">
        <w:rPr>
          <w:sz w:val="24"/>
          <w:szCs w:val="24"/>
        </w:rPr>
        <w:t xml:space="preserve"> </w:t>
      </w:r>
      <w:r w:rsidR="00D7288F" w:rsidRPr="00414807">
        <w:rPr>
          <w:sz w:val="24"/>
          <w:szCs w:val="24"/>
        </w:rPr>
        <w:t xml:space="preserve">размер и съответно </w:t>
      </w:r>
      <w:r w:rsidRPr="00414807">
        <w:rPr>
          <w:sz w:val="24"/>
          <w:szCs w:val="24"/>
        </w:rPr>
        <w:t>интензитет н</w:t>
      </w:r>
      <w:r w:rsidR="00A412A2" w:rsidRPr="00414807">
        <w:rPr>
          <w:sz w:val="24"/>
          <w:szCs w:val="24"/>
        </w:rPr>
        <w:t xml:space="preserve">а помощта съгласно т. </w:t>
      </w:r>
      <w:r w:rsidR="00C46BF3" w:rsidRPr="00414807">
        <w:rPr>
          <w:sz w:val="24"/>
          <w:szCs w:val="24"/>
        </w:rPr>
        <w:t xml:space="preserve">9 и </w:t>
      </w:r>
      <w:r w:rsidR="00A412A2" w:rsidRPr="00414807">
        <w:rPr>
          <w:sz w:val="24"/>
          <w:szCs w:val="24"/>
        </w:rPr>
        <w:t>10</w:t>
      </w:r>
      <w:r w:rsidRPr="00414807">
        <w:rPr>
          <w:sz w:val="24"/>
          <w:szCs w:val="24"/>
        </w:rPr>
        <w:t xml:space="preserve"> от настоящите</w:t>
      </w:r>
      <w:r w:rsidRPr="00BD3276">
        <w:rPr>
          <w:sz w:val="24"/>
          <w:szCs w:val="24"/>
        </w:rPr>
        <w:t xml:space="preserve"> Насоки за кандидатстване, ще се взема предвид </w:t>
      </w:r>
      <w:r w:rsidR="00532C3A" w:rsidRPr="00BD3276">
        <w:rPr>
          <w:sz w:val="24"/>
          <w:szCs w:val="24"/>
        </w:rPr>
        <w:t>общия размер на получената държавна</w:t>
      </w:r>
      <w:r w:rsidR="003A1C8A">
        <w:rPr>
          <w:sz w:val="24"/>
          <w:szCs w:val="24"/>
        </w:rPr>
        <w:t>/минимална</w:t>
      </w:r>
      <w:r w:rsidR="00532C3A" w:rsidRPr="00BD3276">
        <w:rPr>
          <w:sz w:val="24"/>
          <w:szCs w:val="24"/>
        </w:rPr>
        <w:t xml:space="preserve"> помощ за</w:t>
      </w:r>
      <w:r w:rsidRPr="00BD3276">
        <w:rPr>
          <w:sz w:val="24"/>
          <w:szCs w:val="24"/>
        </w:rPr>
        <w:t xml:space="preserve"> подпомаганата дейност</w:t>
      </w:r>
      <w:r w:rsidR="00C46BF3" w:rsidRPr="00BD3276">
        <w:rPr>
          <w:sz w:val="24"/>
          <w:szCs w:val="24"/>
        </w:rPr>
        <w:t>,</w:t>
      </w:r>
      <w:r w:rsidRPr="00BD3276">
        <w:rPr>
          <w:sz w:val="24"/>
          <w:szCs w:val="24"/>
        </w:rPr>
        <w:t xml:space="preserve"> проект</w:t>
      </w:r>
      <w:r w:rsidR="00C46BF3" w:rsidRPr="00BD3276">
        <w:rPr>
          <w:sz w:val="24"/>
          <w:szCs w:val="24"/>
        </w:rPr>
        <w:t xml:space="preserve"> или предприятие,</w:t>
      </w:r>
      <w:r w:rsidRPr="00BD3276">
        <w:rPr>
          <w:sz w:val="24"/>
          <w:szCs w:val="24"/>
        </w:rPr>
        <w:t xml:space="preserve"> независимо от това дали тази подкрепа е финансирана от местни, регионални, национални или </w:t>
      </w:r>
      <w:proofErr w:type="spellStart"/>
      <w:r w:rsidRPr="00BD3276">
        <w:rPr>
          <w:sz w:val="24"/>
          <w:szCs w:val="24"/>
        </w:rPr>
        <w:t>общностни</w:t>
      </w:r>
      <w:proofErr w:type="spellEnd"/>
      <w:r w:rsidRPr="00BD3276">
        <w:rPr>
          <w:sz w:val="24"/>
          <w:szCs w:val="24"/>
        </w:rPr>
        <w:t xml:space="preserve"> източници.</w:t>
      </w:r>
    </w:p>
    <w:p w:rsidR="00A412A2" w:rsidRPr="00BD3276" w:rsidRDefault="00A412A2" w:rsidP="00C46BF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C3F59" w:rsidRPr="00BD3276" w:rsidRDefault="009C3F59" w:rsidP="009C3F5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Възстановяването на неправомерно предоставена държавна помощ се извършва по реда на раздел V от Правилника за прилагане на Закона за държавните помощи</w:t>
      </w:r>
      <w:r w:rsidR="00FB213D" w:rsidRPr="00BD3276">
        <w:rPr>
          <w:sz w:val="24"/>
          <w:szCs w:val="24"/>
        </w:rPr>
        <w:t>,</w:t>
      </w:r>
      <w:r w:rsidRPr="00BD3276">
        <w:rPr>
          <w:sz w:val="24"/>
          <w:szCs w:val="24"/>
        </w:rPr>
        <w:t xml:space="preserve"> съгласно който решение на Европейската комисия за възстановяване на неправомерно предоставена държавна помощ подлежи на принудително изпълнение по реда на Данъчно-осигурителния процесуален кодекс (ДОПК). Когато с решение на Европейската комисия за възстановяване на неправомерно предоставена държавна помощ не са индивидуализирани получателите на помощ и размерът на сумата, която трябва да се възстанови, администраторът на помощ издава допълнително и акт за установяване на публично вземане по реда на чл. 166, ал. 2 и 3 от ДОПК. Не се разрешава предоставяне на нова държавна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w:t>
      </w:r>
    </w:p>
    <w:p w:rsidR="00A412A2" w:rsidRPr="00BD3276" w:rsidRDefault="00A412A2" w:rsidP="009C3F5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F7626C" w:rsidRPr="00BD3276" w:rsidRDefault="009C3F59" w:rsidP="00F7626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w:t>
      </w:r>
      <w:r w:rsidR="00976928" w:rsidRPr="00BD3276">
        <w:rPr>
          <w:sz w:val="24"/>
          <w:szCs w:val="24"/>
        </w:rPr>
        <w:t xml:space="preserve">Раздел IX от ДНФ № 2/01.07.2014 г. относно сертифициране на разходите по </w:t>
      </w:r>
      <w:proofErr w:type="spellStart"/>
      <w:r w:rsidR="00976928" w:rsidRPr="00BD3276">
        <w:rPr>
          <w:sz w:val="24"/>
          <w:szCs w:val="24"/>
        </w:rPr>
        <w:t>oперативни</w:t>
      </w:r>
      <w:proofErr w:type="spellEnd"/>
      <w:r w:rsidR="00976928" w:rsidRPr="00BD3276">
        <w:rPr>
          <w:sz w:val="24"/>
          <w:szCs w:val="24"/>
        </w:rPr>
        <w:t xml:space="preserve"> програми, съфинансирани от Европейския фонд за регионално развитие, Европейския социален фонд, Кохезионния фонд, </w:t>
      </w:r>
      <w:r w:rsidR="00976928" w:rsidRPr="00E318CD">
        <w:rPr>
          <w:sz w:val="24"/>
          <w:szCs w:val="24"/>
        </w:rPr>
        <w:t>Инициативата за младежка заетост и Фонда за европейско подпомагане на най-нуждаещите се лица на Европейския съюз за финансовата рамка 2014 - 2020 г.</w:t>
      </w:r>
      <w:r w:rsidRPr="00E318CD">
        <w:rPr>
          <w:sz w:val="24"/>
          <w:szCs w:val="24"/>
        </w:rPr>
        <w:t xml:space="preserve"> (Приложение </w:t>
      </w:r>
      <w:r w:rsidR="00E318CD" w:rsidRPr="00E318CD">
        <w:rPr>
          <w:sz w:val="24"/>
          <w:szCs w:val="24"/>
        </w:rPr>
        <w:t>Р</w:t>
      </w:r>
      <w:r w:rsidR="00E318CD">
        <w:rPr>
          <w:sz w:val="24"/>
          <w:szCs w:val="24"/>
        </w:rPr>
        <w:t xml:space="preserve"> </w:t>
      </w:r>
      <w:r w:rsidRPr="00E318CD">
        <w:rPr>
          <w:sz w:val="24"/>
          <w:szCs w:val="24"/>
        </w:rPr>
        <w:t>към Насоките за кандидатстване).</w:t>
      </w:r>
    </w:p>
    <w:p w:rsidR="001D79C3" w:rsidRPr="00BD3276" w:rsidRDefault="001D79C3" w:rsidP="001D79C3">
      <w:pPr>
        <w:pStyle w:val="ListParagraph"/>
        <w:spacing w:after="360" w:line="240" w:lineRule="auto"/>
        <w:ind w:left="0"/>
        <w:jc w:val="both"/>
        <w:rPr>
          <w:b/>
          <w:sz w:val="24"/>
          <w:szCs w:val="24"/>
        </w:rPr>
      </w:pPr>
      <w:r w:rsidRPr="00BD3276">
        <w:rPr>
          <w:b/>
          <w:sz w:val="24"/>
          <w:szCs w:val="24"/>
        </w:rPr>
        <w:t xml:space="preserve">  </w:t>
      </w:r>
    </w:p>
    <w:p w:rsidR="001D79C3" w:rsidRPr="00BD3276" w:rsidRDefault="001D79C3" w:rsidP="002E627B">
      <w:pPr>
        <w:pStyle w:val="Heading2"/>
        <w:spacing w:before="120" w:after="120"/>
      </w:pPr>
      <w:bookmarkStart w:id="25" w:name="_Toc418791456"/>
      <w:r w:rsidRPr="00BD3276">
        <w:t>17.</w:t>
      </w:r>
      <w:r w:rsidR="008D1FB2">
        <w:t xml:space="preserve"> </w:t>
      </w:r>
      <w:r w:rsidRPr="00BD3276">
        <w:t>Хоризонтални политики:</w:t>
      </w:r>
      <w:bookmarkEnd w:id="25"/>
    </w:p>
    <w:p w:rsidR="003568A8" w:rsidRPr="00BD3276" w:rsidRDefault="003215F7" w:rsidP="00D7508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DC4730">
        <w:rPr>
          <w:sz w:val="24"/>
          <w:szCs w:val="24"/>
        </w:rPr>
        <w:t>П</w:t>
      </w:r>
      <w:r w:rsidR="00522BE3" w:rsidRPr="00DC4730">
        <w:rPr>
          <w:sz w:val="24"/>
          <w:szCs w:val="24"/>
        </w:rPr>
        <w:t xml:space="preserve">о настоящата процедура следва да </w:t>
      </w:r>
      <w:r w:rsidRPr="00DC4730">
        <w:rPr>
          <w:sz w:val="24"/>
          <w:szCs w:val="24"/>
        </w:rPr>
        <w:t xml:space="preserve">е налице съответствие на проектните предложения с </w:t>
      </w:r>
      <w:r w:rsidR="000B0A30" w:rsidRPr="00DC4730">
        <w:rPr>
          <w:b/>
          <w:sz w:val="24"/>
          <w:szCs w:val="24"/>
        </w:rPr>
        <w:t>поне един</w:t>
      </w:r>
      <w:r w:rsidR="000B0A30" w:rsidRPr="00DC4730">
        <w:rPr>
          <w:sz w:val="24"/>
          <w:szCs w:val="24"/>
        </w:rPr>
        <w:t xml:space="preserve"> от следните</w:t>
      </w:r>
      <w:r w:rsidR="000B0A30" w:rsidRPr="00BD3276">
        <w:rPr>
          <w:sz w:val="24"/>
          <w:szCs w:val="24"/>
        </w:rPr>
        <w:t xml:space="preserve"> принцип</w:t>
      </w:r>
      <w:r w:rsidR="006B6465" w:rsidRPr="00BD3276">
        <w:rPr>
          <w:sz w:val="24"/>
          <w:szCs w:val="24"/>
        </w:rPr>
        <w:t>и</w:t>
      </w:r>
      <w:r w:rsidR="000B0A30" w:rsidRPr="00BD3276">
        <w:rPr>
          <w:sz w:val="24"/>
          <w:szCs w:val="24"/>
        </w:rPr>
        <w:t xml:space="preserve"> на </w:t>
      </w:r>
      <w:r w:rsidRPr="00BD3276">
        <w:rPr>
          <w:sz w:val="24"/>
          <w:szCs w:val="24"/>
        </w:rPr>
        <w:t>хоризонталните политики на ЕС</w:t>
      </w:r>
      <w:r w:rsidR="00F3570C" w:rsidRPr="00BD3276">
        <w:rPr>
          <w:sz w:val="24"/>
          <w:szCs w:val="24"/>
        </w:rPr>
        <w:t>:</w:t>
      </w:r>
    </w:p>
    <w:p w:rsidR="005D1C85" w:rsidRPr="00BD3276" w:rsidRDefault="005D1C85" w:rsidP="00D7508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A1195" w:rsidRPr="00BD3276" w:rsidRDefault="00AD0EB6" w:rsidP="00D7508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w:t>
      </w:r>
      <w:r w:rsidR="00175F55" w:rsidRPr="00BD3276">
        <w:rPr>
          <w:sz w:val="24"/>
          <w:szCs w:val="24"/>
        </w:rPr>
        <w:t xml:space="preserve"> </w:t>
      </w:r>
      <w:r w:rsidR="00104B35">
        <w:rPr>
          <w:sz w:val="24"/>
          <w:szCs w:val="24"/>
        </w:rPr>
        <w:t xml:space="preserve">насърчаване на равенството между мъжете и жените </w:t>
      </w:r>
      <w:r w:rsidRPr="00BD3276">
        <w:rPr>
          <w:sz w:val="24"/>
          <w:szCs w:val="24"/>
        </w:rPr>
        <w:t xml:space="preserve">и </w:t>
      </w:r>
      <w:r w:rsidR="00104B35">
        <w:rPr>
          <w:sz w:val="24"/>
          <w:szCs w:val="24"/>
        </w:rPr>
        <w:t>на не</w:t>
      </w:r>
      <w:r w:rsidRPr="00BD3276">
        <w:rPr>
          <w:sz w:val="24"/>
          <w:szCs w:val="24"/>
        </w:rPr>
        <w:t>дискриминация</w:t>
      </w:r>
      <w:r w:rsidR="008C4D4B">
        <w:rPr>
          <w:sz w:val="24"/>
          <w:szCs w:val="24"/>
        </w:rPr>
        <w:t>та</w:t>
      </w:r>
      <w:r w:rsidRPr="00BD3276">
        <w:rPr>
          <w:sz w:val="24"/>
          <w:szCs w:val="24"/>
        </w:rPr>
        <w:t xml:space="preserve"> - насърчаване на равните възможности за всички, включително възможностите за достъп за хора с увреждания чрез интегрирането</w:t>
      </w:r>
      <w:r w:rsidR="00175F55" w:rsidRPr="00BD3276">
        <w:rPr>
          <w:sz w:val="24"/>
          <w:szCs w:val="24"/>
        </w:rPr>
        <w:t xml:space="preserve"> на принципа на недискриминация. </w:t>
      </w:r>
      <w:r w:rsidR="008A1195" w:rsidRPr="00BD3276">
        <w:rPr>
          <w:sz w:val="24"/>
          <w:szCs w:val="24"/>
        </w:rPr>
        <w:t xml:space="preserve">Европейският съюз насърчава </w:t>
      </w:r>
      <w:proofErr w:type="spellStart"/>
      <w:r w:rsidR="008A1195" w:rsidRPr="00BD3276">
        <w:rPr>
          <w:sz w:val="24"/>
          <w:szCs w:val="24"/>
        </w:rPr>
        <w:t>равнопоставеността</w:t>
      </w:r>
      <w:proofErr w:type="spellEnd"/>
      <w:r w:rsidR="008A1195" w:rsidRPr="00BD3276">
        <w:rPr>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w:t>
      </w:r>
      <w:r w:rsidR="008A1195" w:rsidRPr="00BD3276">
        <w:rPr>
          <w:sz w:val="24"/>
          <w:szCs w:val="24"/>
        </w:rPr>
        <w:lastRenderedPageBreak/>
        <w:t xml:space="preserve">е отворена за всички кандидати, които отговарят на условията, </w:t>
      </w:r>
      <w:r w:rsidR="008A1195" w:rsidRPr="00D41E5F">
        <w:rPr>
          <w:sz w:val="24"/>
          <w:szCs w:val="24"/>
        </w:rPr>
        <w:t>посочени в т. 11 от</w:t>
      </w:r>
      <w:r w:rsidR="008A1195" w:rsidRPr="00BD3276">
        <w:rPr>
          <w:sz w:val="24"/>
          <w:szCs w:val="24"/>
        </w:rPr>
        <w:t xml:space="preserve"> Насоките, независимо от техния пол, етническа принадлежност или вид увреждане.</w:t>
      </w:r>
    </w:p>
    <w:p w:rsidR="005D1C85" w:rsidRPr="00BD3276" w:rsidRDefault="005D1C85" w:rsidP="00D7508E">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464FCC" w:rsidRPr="00BD3276" w:rsidRDefault="00AD0EB6" w:rsidP="00464FC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w:t>
      </w:r>
      <w:r w:rsidR="000B0A30" w:rsidRPr="00BD3276">
        <w:rPr>
          <w:sz w:val="24"/>
          <w:szCs w:val="24"/>
        </w:rPr>
        <w:t xml:space="preserve"> </w:t>
      </w:r>
      <w:r w:rsidRPr="00BD3276">
        <w:rPr>
          <w:sz w:val="24"/>
          <w:szCs w:val="24"/>
        </w:rPr>
        <w:t xml:space="preserve">устойчиво развитие – подкрепа за </w:t>
      </w:r>
      <w:r w:rsidR="000B0A30" w:rsidRPr="00BD3276">
        <w:rPr>
          <w:sz w:val="24"/>
          <w:szCs w:val="24"/>
        </w:rPr>
        <w:t>проекти</w:t>
      </w:r>
      <w:r w:rsidRPr="00BD3276">
        <w:rPr>
          <w:sz w:val="24"/>
          <w:szCs w:val="24"/>
        </w:rPr>
        <w:t xml:space="preserve">, които допринасят за опазване на околната среда, </w:t>
      </w:r>
      <w:r w:rsidR="008A3D61" w:rsidRPr="00BD3276">
        <w:rPr>
          <w:sz w:val="24"/>
          <w:szCs w:val="24"/>
        </w:rPr>
        <w:t xml:space="preserve">повишаване на </w:t>
      </w:r>
      <w:r w:rsidRPr="00BD3276">
        <w:rPr>
          <w:sz w:val="24"/>
          <w:szCs w:val="24"/>
        </w:rPr>
        <w:t>ресурсна</w:t>
      </w:r>
      <w:r w:rsidR="008A3D61" w:rsidRPr="00BD3276">
        <w:rPr>
          <w:sz w:val="24"/>
          <w:szCs w:val="24"/>
        </w:rPr>
        <w:t>та</w:t>
      </w:r>
      <w:r w:rsidRPr="00BD3276">
        <w:rPr>
          <w:sz w:val="24"/>
          <w:szCs w:val="24"/>
        </w:rPr>
        <w:t xml:space="preserve"> ефективност и смекчаване на последиците от изменение на кли</w:t>
      </w:r>
      <w:r w:rsidR="008A3D61" w:rsidRPr="00BD3276">
        <w:rPr>
          <w:sz w:val="24"/>
          <w:szCs w:val="24"/>
        </w:rPr>
        <w:t>мата и приспособяване към тях.</w:t>
      </w:r>
      <w:r w:rsidR="00AC4EEA" w:rsidRPr="00BD3276">
        <w:rPr>
          <w:sz w:val="24"/>
          <w:szCs w:val="24"/>
        </w:rPr>
        <w:t xml:space="preserve"> </w:t>
      </w:r>
    </w:p>
    <w:p w:rsidR="00464FCC" w:rsidRPr="00BD3276" w:rsidRDefault="00464FCC" w:rsidP="00464FC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464FCC" w:rsidRPr="00BD3276" w:rsidRDefault="008A3D61" w:rsidP="00464FC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D41E5F">
        <w:rPr>
          <w:sz w:val="24"/>
          <w:szCs w:val="24"/>
        </w:rPr>
        <w:t>В</w:t>
      </w:r>
      <w:r w:rsidR="00421B5B" w:rsidRPr="00D41E5F">
        <w:rPr>
          <w:sz w:val="24"/>
          <w:szCs w:val="24"/>
        </w:rPr>
        <w:t xml:space="preserve"> </w:t>
      </w:r>
      <w:r w:rsidRPr="00D41E5F">
        <w:rPr>
          <w:sz w:val="24"/>
          <w:szCs w:val="24"/>
        </w:rPr>
        <w:t>т</w:t>
      </w:r>
      <w:r w:rsidR="00421B5B" w:rsidRPr="00D41E5F">
        <w:rPr>
          <w:sz w:val="24"/>
          <w:szCs w:val="24"/>
        </w:rPr>
        <w:t xml:space="preserve">. 11 </w:t>
      </w:r>
      <w:r w:rsidRPr="00D41E5F">
        <w:rPr>
          <w:sz w:val="24"/>
          <w:szCs w:val="24"/>
        </w:rPr>
        <w:t>от Формуляра за кандидатстване кандидатите следва да представят информация за</w:t>
      </w:r>
      <w:r w:rsidRPr="00BD3276">
        <w:rPr>
          <w:sz w:val="24"/>
          <w:szCs w:val="24"/>
        </w:rPr>
        <w:t xml:space="preserve"> съответствието на проектното предложение с </w:t>
      </w:r>
      <w:r w:rsidR="00A743AD" w:rsidRPr="00BD3276">
        <w:rPr>
          <w:sz w:val="24"/>
          <w:szCs w:val="24"/>
        </w:rPr>
        <w:t>поне един от посочените принципи.</w:t>
      </w:r>
    </w:p>
    <w:p w:rsidR="00E4277F" w:rsidRDefault="004D20B4" w:rsidP="00464FC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Прилагането на заложените в проекта принципи ще се проследява на етап изпълнение на проектното предложение.</w:t>
      </w:r>
    </w:p>
    <w:p w:rsidR="00F7626C" w:rsidRPr="00BD3276" w:rsidRDefault="00F7626C" w:rsidP="002325A3">
      <w:pPr>
        <w:pStyle w:val="ListParagraph"/>
        <w:spacing w:after="360" w:line="240" w:lineRule="auto"/>
        <w:ind w:left="0"/>
        <w:jc w:val="both"/>
        <w:rPr>
          <w:b/>
          <w:sz w:val="24"/>
          <w:szCs w:val="24"/>
        </w:rPr>
      </w:pPr>
    </w:p>
    <w:p w:rsidR="00BA2E00" w:rsidRPr="00BD3276" w:rsidRDefault="00BA2E00" w:rsidP="002E627B">
      <w:pPr>
        <w:pStyle w:val="Heading2"/>
        <w:spacing w:before="120" w:after="120"/>
      </w:pPr>
      <w:bookmarkStart w:id="26" w:name="_Toc418791457"/>
      <w:r w:rsidRPr="00BD3276">
        <w:t>1</w:t>
      </w:r>
      <w:r w:rsidR="001D79C3" w:rsidRPr="00BD3276">
        <w:t>8</w:t>
      </w:r>
      <w:r w:rsidRPr="00BD3276">
        <w:t>. Минимален и максимален срок за изпълнение на проекта:</w:t>
      </w:r>
      <w:bookmarkEnd w:id="26"/>
    </w:p>
    <w:p w:rsidR="00B1282F" w:rsidRPr="008D1FB2" w:rsidRDefault="00B1282F" w:rsidP="008D1FB2">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sz w:val="24"/>
          <w:szCs w:val="24"/>
        </w:rPr>
      </w:pPr>
      <w:r w:rsidRPr="00BD3276">
        <w:rPr>
          <w:sz w:val="24"/>
          <w:szCs w:val="24"/>
        </w:rPr>
        <w:t xml:space="preserve">Продължителността на изпълнение на всеки проект не следва да надвишава </w:t>
      </w:r>
      <w:r w:rsidRPr="00BD3276">
        <w:rPr>
          <w:b/>
          <w:sz w:val="24"/>
          <w:szCs w:val="24"/>
        </w:rPr>
        <w:t>18 /</w:t>
      </w:r>
      <w:r w:rsidR="008676A0" w:rsidRPr="00BD3276">
        <w:rPr>
          <w:b/>
          <w:sz w:val="24"/>
          <w:szCs w:val="24"/>
        </w:rPr>
        <w:t>осемна</w:t>
      </w:r>
      <w:r w:rsidR="00951B13" w:rsidRPr="00BD3276">
        <w:rPr>
          <w:b/>
          <w:sz w:val="24"/>
          <w:szCs w:val="24"/>
        </w:rPr>
        <w:t>де</w:t>
      </w:r>
      <w:r w:rsidR="001311CA" w:rsidRPr="00BD3276">
        <w:rPr>
          <w:b/>
          <w:sz w:val="24"/>
          <w:szCs w:val="24"/>
        </w:rPr>
        <w:t>сет</w:t>
      </w:r>
      <w:r w:rsidRPr="00BD3276">
        <w:rPr>
          <w:b/>
          <w:sz w:val="24"/>
          <w:szCs w:val="24"/>
        </w:rPr>
        <w:t>/ месеца</w:t>
      </w:r>
      <w:r w:rsidRPr="00BD3276">
        <w:rPr>
          <w:sz w:val="24"/>
          <w:szCs w:val="24"/>
        </w:rPr>
        <w:t>, считано от датата на влизане в сила на договора за предоставяне на безвъзмездна финансова помощ.</w:t>
      </w:r>
    </w:p>
    <w:p w:rsidR="002325A3" w:rsidRPr="00BD3276" w:rsidRDefault="002325A3" w:rsidP="006A2DB8">
      <w:pPr>
        <w:pStyle w:val="ListParagraph"/>
        <w:spacing w:after="360" w:line="240" w:lineRule="auto"/>
        <w:ind w:left="0"/>
        <w:jc w:val="both"/>
        <w:rPr>
          <w:b/>
          <w:sz w:val="24"/>
          <w:szCs w:val="24"/>
        </w:rPr>
      </w:pPr>
      <w:r w:rsidRPr="00BD3276">
        <w:rPr>
          <w:b/>
          <w:sz w:val="24"/>
          <w:szCs w:val="24"/>
        </w:rPr>
        <w:t xml:space="preserve">        </w:t>
      </w:r>
    </w:p>
    <w:p w:rsidR="002325A3" w:rsidRPr="00BD3276" w:rsidRDefault="00CB14EE" w:rsidP="002E627B">
      <w:pPr>
        <w:pStyle w:val="Heading2"/>
        <w:spacing w:before="120" w:after="120"/>
      </w:pPr>
      <w:bookmarkStart w:id="27" w:name="_Toc418791458"/>
      <w:r w:rsidRPr="00BD3276">
        <w:t>1</w:t>
      </w:r>
      <w:r w:rsidR="001D79C3" w:rsidRPr="00BD3276">
        <w:t>9</w:t>
      </w:r>
      <w:r w:rsidR="002325A3" w:rsidRPr="00BD3276">
        <w:t>. Етапи и начин за оценяване на проектните предложения</w:t>
      </w:r>
      <w:r w:rsidR="00321C67" w:rsidRPr="00BD3276">
        <w:t>, вкл. провеждане на предварителен подбор на концепции за проектни предложения</w:t>
      </w:r>
      <w:r w:rsidR="002325A3" w:rsidRPr="00BD3276">
        <w:t>:</w:t>
      </w:r>
      <w:bookmarkEnd w:id="27"/>
    </w:p>
    <w:p w:rsidR="006B6465" w:rsidRPr="00BD3276" w:rsidRDefault="008C71B9" w:rsidP="002E627B">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sz w:val="24"/>
          <w:szCs w:val="24"/>
        </w:rPr>
      </w:pPr>
      <w:r w:rsidRPr="00BD3276">
        <w:rPr>
          <w:sz w:val="24"/>
          <w:szCs w:val="24"/>
        </w:rPr>
        <w:t>Подборът</w:t>
      </w:r>
      <w:r w:rsidR="006B6465" w:rsidRPr="00BD3276">
        <w:rPr>
          <w:sz w:val="24"/>
          <w:szCs w:val="24"/>
        </w:rPr>
        <w:t xml:space="preserve"> на проектни предложения по настоящ</w:t>
      </w:r>
      <w:r w:rsidR="00797B87" w:rsidRPr="00BD3276">
        <w:rPr>
          <w:sz w:val="24"/>
          <w:szCs w:val="24"/>
        </w:rPr>
        <w:t>а</w:t>
      </w:r>
      <w:r w:rsidR="006B6465" w:rsidRPr="00BD3276">
        <w:rPr>
          <w:sz w:val="24"/>
          <w:szCs w:val="24"/>
        </w:rPr>
        <w:t>та процедура ще се основава на принципа на финансиране, основано на нуждите – съответствие с основните предизвикателства пред бизнеса/икономиката, идентифицирани в Споразумението за партньорство, стратегията на ОПИК и приложимите стратегически документи.</w:t>
      </w:r>
    </w:p>
    <w:p w:rsidR="006B6465" w:rsidRPr="00BD3276" w:rsidRDefault="006B6465" w:rsidP="006B646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B6465" w:rsidRPr="00BD3276" w:rsidRDefault="006B6465" w:rsidP="006B646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В тази връзка, критериите за допустимост и за техническа и финансова оценка по настоящата процедура са насочени към разрешаване на предизвикателствата, свързани с:</w:t>
      </w:r>
    </w:p>
    <w:p w:rsidR="000C5935" w:rsidRDefault="00314E45"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 xml:space="preserve">- </w:t>
      </w:r>
      <w:r w:rsidR="000C5935" w:rsidRPr="000C5935">
        <w:rPr>
          <w:sz w:val="24"/>
          <w:szCs w:val="24"/>
        </w:rPr>
        <w:t>ниската степен на иновативност на дейно</w:t>
      </w:r>
      <w:r w:rsidR="000C5935">
        <w:rPr>
          <w:sz w:val="24"/>
          <w:szCs w:val="24"/>
        </w:rPr>
        <w:t>стта на българските предприятия</w:t>
      </w:r>
      <w:r>
        <w:rPr>
          <w:sz w:val="24"/>
          <w:szCs w:val="24"/>
        </w:rPr>
        <w:t>;</w:t>
      </w:r>
    </w:p>
    <w:p w:rsidR="000C5935" w:rsidRDefault="00314E45"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 xml:space="preserve">- </w:t>
      </w:r>
      <w:r w:rsidR="000C5935">
        <w:rPr>
          <w:sz w:val="24"/>
          <w:szCs w:val="24"/>
        </w:rPr>
        <w:t>малки</w:t>
      </w:r>
      <w:r w:rsidR="000C5935" w:rsidRPr="000C5935">
        <w:rPr>
          <w:sz w:val="24"/>
          <w:szCs w:val="24"/>
        </w:rPr>
        <w:t xml:space="preserve"> по обем и неефективни инвестиции </w:t>
      </w:r>
      <w:r w:rsidR="000C5935">
        <w:rPr>
          <w:sz w:val="24"/>
          <w:szCs w:val="24"/>
        </w:rPr>
        <w:t>в иновации</w:t>
      </w:r>
      <w:r>
        <w:rPr>
          <w:sz w:val="24"/>
          <w:szCs w:val="24"/>
        </w:rPr>
        <w:t>.</w:t>
      </w:r>
    </w:p>
    <w:p w:rsidR="000C5935" w:rsidRPr="00BD3276" w:rsidRDefault="000C5935"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D21BAC" w:rsidRPr="00BD3276" w:rsidRDefault="000C5CF4" w:rsidP="000C5CF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Оценката и класирането на проектните предложения по настоящата процедура се извършва от Оценителна комисия, определена с акт на Ръководителя на </w:t>
      </w:r>
      <w:r w:rsidR="0094104D" w:rsidRPr="00BD3276">
        <w:rPr>
          <w:sz w:val="24"/>
          <w:szCs w:val="24"/>
        </w:rPr>
        <w:t xml:space="preserve">Управляващия </w:t>
      </w:r>
      <w:r w:rsidRPr="00BD3276">
        <w:rPr>
          <w:sz w:val="24"/>
          <w:szCs w:val="24"/>
        </w:rPr>
        <w:t xml:space="preserve">орган. Всички проектни предложения, подадени в срок, се оценяват в съответствие с Критериите и </w:t>
      </w:r>
      <w:r w:rsidRPr="00235CC7">
        <w:rPr>
          <w:sz w:val="24"/>
          <w:szCs w:val="24"/>
        </w:rPr>
        <w:t xml:space="preserve">методологията за оценка на проектните предложения по процедурата, посочени в т. 21 и </w:t>
      </w:r>
      <w:r w:rsidR="00935BEE" w:rsidRPr="00235CC7">
        <w:rPr>
          <w:sz w:val="24"/>
          <w:szCs w:val="24"/>
        </w:rPr>
        <w:t xml:space="preserve">Приложение </w:t>
      </w:r>
      <w:r w:rsidR="00235CC7" w:rsidRPr="00235CC7">
        <w:rPr>
          <w:sz w:val="24"/>
          <w:szCs w:val="24"/>
        </w:rPr>
        <w:t>Й</w:t>
      </w:r>
      <w:r w:rsidRPr="00235CC7">
        <w:rPr>
          <w:sz w:val="24"/>
          <w:szCs w:val="24"/>
        </w:rPr>
        <w:t xml:space="preserve"> към Насоките</w:t>
      </w:r>
      <w:r w:rsidRPr="00BD3276">
        <w:rPr>
          <w:sz w:val="24"/>
          <w:szCs w:val="24"/>
        </w:rPr>
        <w:t xml:space="preserve"> за кандидатстване. 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w:t>
      </w:r>
      <w:r w:rsidR="00AB77E6" w:rsidRPr="00BD3276">
        <w:rPr>
          <w:sz w:val="24"/>
          <w:szCs w:val="24"/>
        </w:rPr>
        <w:t xml:space="preserve"> с изключение на случаите по чл. 13, ал. 6 от ПМС №</w:t>
      </w:r>
      <w:r w:rsidR="007A7B56" w:rsidRPr="00BD3276">
        <w:rPr>
          <w:sz w:val="24"/>
          <w:szCs w:val="24"/>
        </w:rPr>
        <w:t xml:space="preserve"> </w:t>
      </w:r>
      <w:r w:rsidR="00AB77E6" w:rsidRPr="00BD3276">
        <w:rPr>
          <w:sz w:val="24"/>
          <w:szCs w:val="24"/>
        </w:rPr>
        <w:t>107/2014</w:t>
      </w:r>
      <w:r w:rsidRPr="00BD3276">
        <w:rPr>
          <w:sz w:val="24"/>
          <w:szCs w:val="24"/>
        </w:rPr>
        <w:t xml:space="preserve">. </w:t>
      </w:r>
    </w:p>
    <w:p w:rsidR="00B237BE" w:rsidRPr="00BD3276" w:rsidRDefault="00B237BE" w:rsidP="000C5CF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0C5CF4" w:rsidRPr="00BD3276" w:rsidRDefault="000C5CF4" w:rsidP="000C5CF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Оценката на проектните предложения включва:</w:t>
      </w:r>
    </w:p>
    <w:p w:rsidR="000C5CF4" w:rsidRPr="00BD3276" w:rsidRDefault="000C5CF4" w:rsidP="000C5CF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Етап 1:</w:t>
      </w:r>
      <w:r w:rsidRPr="00BD3276">
        <w:rPr>
          <w:sz w:val="24"/>
          <w:szCs w:val="24"/>
        </w:rPr>
        <w:t xml:space="preserve"> Оценка на административното съответствие и допустимостта;</w:t>
      </w:r>
    </w:p>
    <w:p w:rsidR="00827F99" w:rsidRPr="00BD3276" w:rsidRDefault="000C5CF4"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Етап 2:</w:t>
      </w:r>
      <w:r w:rsidR="008D1FB2">
        <w:rPr>
          <w:sz w:val="24"/>
          <w:szCs w:val="24"/>
        </w:rPr>
        <w:t xml:space="preserve"> Техническа и финансова оценка.</w:t>
      </w:r>
    </w:p>
    <w:p w:rsidR="00540660" w:rsidRPr="00BD3276" w:rsidRDefault="00540660" w:rsidP="002E627B">
      <w:pPr>
        <w:pStyle w:val="Heading3"/>
        <w:spacing w:before="120" w:after="120"/>
        <w:rPr>
          <w:sz w:val="24"/>
          <w:szCs w:val="24"/>
        </w:rPr>
      </w:pPr>
      <w:bookmarkStart w:id="28" w:name="_Toc418791459"/>
      <w:r w:rsidRPr="00BD3276">
        <w:rPr>
          <w:sz w:val="24"/>
          <w:szCs w:val="24"/>
        </w:rPr>
        <w:lastRenderedPageBreak/>
        <w:t>19.1. Оценка на  административното съответствие и допустимостта</w:t>
      </w:r>
      <w:bookmarkEnd w:id="28"/>
    </w:p>
    <w:p w:rsidR="00540660" w:rsidRPr="00BD3276" w:rsidRDefault="00540660" w:rsidP="002E627B">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sz w:val="24"/>
          <w:szCs w:val="24"/>
        </w:rPr>
      </w:pPr>
      <w:r w:rsidRPr="00BD3276">
        <w:rPr>
          <w:sz w:val="24"/>
          <w:szCs w:val="24"/>
        </w:rPr>
        <w:t>В процеса на оценка на административното съответствие и допустимостта на проектните предложения по процедурата, ще бъде проверявано дали:</w:t>
      </w:r>
    </w:p>
    <w:p w:rsidR="00540660" w:rsidRPr="00BD3276" w:rsidRDefault="00255144" w:rsidP="005100FE">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sz w:val="24"/>
          <w:szCs w:val="24"/>
        </w:rPr>
      </w:pPr>
      <w:r w:rsidRPr="00BD3276">
        <w:rPr>
          <w:sz w:val="24"/>
          <w:szCs w:val="24"/>
        </w:rPr>
        <w:t xml:space="preserve"> - п</w:t>
      </w:r>
      <w:r w:rsidR="00540660" w:rsidRPr="00BD3276">
        <w:rPr>
          <w:sz w:val="24"/>
          <w:szCs w:val="24"/>
        </w:rPr>
        <w:t xml:space="preserve">роектното предложение се отнася за обявената процедура за подбор на проекти;  </w:t>
      </w:r>
    </w:p>
    <w:p w:rsidR="00540660" w:rsidRPr="00BD3276" w:rsidRDefault="00255144" w:rsidP="005100FE">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sz w:val="24"/>
          <w:szCs w:val="24"/>
        </w:rPr>
      </w:pPr>
      <w:r w:rsidRPr="00BD3276">
        <w:rPr>
          <w:sz w:val="24"/>
          <w:szCs w:val="24"/>
        </w:rPr>
        <w:t xml:space="preserve"> - ф</w:t>
      </w:r>
      <w:r w:rsidR="00540660" w:rsidRPr="00BD3276">
        <w:rPr>
          <w:sz w:val="24"/>
          <w:szCs w:val="24"/>
        </w:rPr>
        <w:t xml:space="preserve">ормулярът за кандидатстване отговаря на всички формални изисквания и на </w:t>
      </w:r>
      <w:r w:rsidR="003D16CE" w:rsidRPr="00BD3276">
        <w:rPr>
          <w:sz w:val="24"/>
          <w:szCs w:val="24"/>
        </w:rPr>
        <w:t xml:space="preserve">одобрения </w:t>
      </w:r>
      <w:r w:rsidR="00540660" w:rsidRPr="00BD3276">
        <w:rPr>
          <w:sz w:val="24"/>
          <w:szCs w:val="24"/>
        </w:rPr>
        <w:t>образец</w:t>
      </w:r>
      <w:r w:rsidR="003D16CE" w:rsidRPr="00BD3276">
        <w:rPr>
          <w:sz w:val="24"/>
          <w:szCs w:val="24"/>
        </w:rPr>
        <w:t xml:space="preserve"> в системата ИСУН 2020</w:t>
      </w:r>
      <w:r w:rsidR="00540660" w:rsidRPr="00BD3276">
        <w:rPr>
          <w:sz w:val="24"/>
          <w:szCs w:val="24"/>
        </w:rPr>
        <w:t xml:space="preserve">;  </w:t>
      </w:r>
    </w:p>
    <w:p w:rsidR="00540660" w:rsidRPr="00282E10" w:rsidRDefault="00255144" w:rsidP="005100FE">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sz w:val="24"/>
          <w:szCs w:val="24"/>
        </w:rPr>
      </w:pPr>
      <w:r w:rsidRPr="00BD3276">
        <w:rPr>
          <w:sz w:val="24"/>
          <w:szCs w:val="24"/>
        </w:rPr>
        <w:t xml:space="preserve"> - н</w:t>
      </w:r>
      <w:r w:rsidR="00540660" w:rsidRPr="00BD3276">
        <w:rPr>
          <w:sz w:val="24"/>
          <w:szCs w:val="24"/>
        </w:rPr>
        <w:t xml:space="preserve">алице са всички </w:t>
      </w:r>
      <w:r w:rsidRPr="00BD3276">
        <w:rPr>
          <w:sz w:val="24"/>
          <w:szCs w:val="24"/>
        </w:rPr>
        <w:t xml:space="preserve">документи, </w:t>
      </w:r>
      <w:r w:rsidR="00540660" w:rsidRPr="00BD3276">
        <w:rPr>
          <w:sz w:val="24"/>
          <w:szCs w:val="24"/>
        </w:rPr>
        <w:t>представени и попълнени съгласно изисквания</w:t>
      </w:r>
      <w:r w:rsidRPr="00BD3276">
        <w:rPr>
          <w:sz w:val="24"/>
          <w:szCs w:val="24"/>
        </w:rPr>
        <w:t xml:space="preserve">та, </w:t>
      </w:r>
      <w:r w:rsidRPr="00282E10">
        <w:rPr>
          <w:sz w:val="24"/>
          <w:szCs w:val="24"/>
        </w:rPr>
        <w:t xml:space="preserve">посочени в т. 23 </w:t>
      </w:r>
      <w:r w:rsidR="00540660" w:rsidRPr="00282E10">
        <w:rPr>
          <w:sz w:val="24"/>
          <w:szCs w:val="24"/>
        </w:rPr>
        <w:t>от настоящите Насоки за кандидатстване;</w:t>
      </w:r>
    </w:p>
    <w:p w:rsidR="00540660" w:rsidRPr="00BD3276" w:rsidRDefault="00255144" w:rsidP="005100FE">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sz w:val="24"/>
          <w:szCs w:val="24"/>
        </w:rPr>
      </w:pPr>
      <w:r w:rsidRPr="00282E10">
        <w:rPr>
          <w:sz w:val="24"/>
          <w:szCs w:val="24"/>
        </w:rPr>
        <w:t xml:space="preserve"> - </w:t>
      </w:r>
      <w:r w:rsidR="00540660" w:rsidRPr="00282E10">
        <w:rPr>
          <w:sz w:val="24"/>
          <w:szCs w:val="24"/>
        </w:rPr>
        <w:t>въз основа на Формуляра за кандидатстване и представените документи е налице съответствие на кандидатите и проектните дейности с критериите</w:t>
      </w:r>
      <w:r w:rsidR="00F761E8" w:rsidRPr="00282E10">
        <w:rPr>
          <w:sz w:val="24"/>
          <w:szCs w:val="24"/>
        </w:rPr>
        <w:t xml:space="preserve"> за допустимост, посочени в т. 11</w:t>
      </w:r>
      <w:r w:rsidR="00490FE4">
        <w:rPr>
          <w:sz w:val="24"/>
          <w:szCs w:val="24"/>
        </w:rPr>
        <w:t>,</w:t>
      </w:r>
      <w:r w:rsidR="00F761E8" w:rsidRPr="00282E10">
        <w:rPr>
          <w:sz w:val="24"/>
          <w:szCs w:val="24"/>
        </w:rPr>
        <w:t xml:space="preserve"> т.13</w:t>
      </w:r>
      <w:r w:rsidR="0030424A" w:rsidRPr="00282E10">
        <w:rPr>
          <w:sz w:val="24"/>
          <w:szCs w:val="24"/>
        </w:rPr>
        <w:t xml:space="preserve"> и т. 18</w:t>
      </w:r>
      <w:r w:rsidR="00540660" w:rsidRPr="00282E10">
        <w:rPr>
          <w:sz w:val="24"/>
          <w:szCs w:val="24"/>
        </w:rPr>
        <w:t xml:space="preserve"> от</w:t>
      </w:r>
      <w:r w:rsidR="00540660" w:rsidRPr="00BD3276">
        <w:rPr>
          <w:sz w:val="24"/>
          <w:szCs w:val="24"/>
        </w:rPr>
        <w:t xml:space="preserve"> Насоките за кандидатстване. </w:t>
      </w:r>
    </w:p>
    <w:p w:rsidR="00540660" w:rsidRPr="00BD3276" w:rsidRDefault="00540660" w:rsidP="0054066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540660" w:rsidRPr="00BD3276" w:rsidRDefault="00540660" w:rsidP="0054066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F761E8" w:rsidRPr="00BD3276" w:rsidRDefault="00F761E8" w:rsidP="0054066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0C5CF4" w:rsidRPr="00BD3276" w:rsidRDefault="00540660" w:rsidP="0054066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След приключване на оценката на административното съответствие и допустимостта, на интернет страницата на </w:t>
      </w:r>
      <w:r w:rsidR="0013737A" w:rsidRPr="00BD3276">
        <w:rPr>
          <w:sz w:val="24"/>
          <w:szCs w:val="24"/>
        </w:rPr>
        <w:t xml:space="preserve">Управляващия </w:t>
      </w:r>
      <w:r w:rsidRPr="00BD3276">
        <w:rPr>
          <w:sz w:val="24"/>
          <w:szCs w:val="24"/>
        </w:rPr>
        <w:t>орган (</w:t>
      </w:r>
      <w:proofErr w:type="spellStart"/>
      <w:r w:rsidRPr="00BD3276">
        <w:rPr>
          <w:sz w:val="24"/>
          <w:szCs w:val="24"/>
        </w:rPr>
        <w:t>www</w:t>
      </w:r>
      <w:proofErr w:type="spellEnd"/>
      <w:r w:rsidRPr="00BD3276">
        <w:rPr>
          <w:sz w:val="24"/>
          <w:szCs w:val="24"/>
        </w:rPr>
        <w:t>.</w:t>
      </w:r>
      <w:proofErr w:type="spellStart"/>
      <w:r w:rsidRPr="00BD3276">
        <w:rPr>
          <w:sz w:val="24"/>
          <w:szCs w:val="24"/>
        </w:rPr>
        <w:t>opcompetitiveness</w:t>
      </w:r>
      <w:proofErr w:type="spellEnd"/>
      <w:r w:rsidRPr="00BD3276">
        <w:rPr>
          <w:sz w:val="24"/>
          <w:szCs w:val="24"/>
        </w:rPr>
        <w:t>.</w:t>
      </w:r>
      <w:proofErr w:type="spellStart"/>
      <w:r w:rsidRPr="00BD3276">
        <w:rPr>
          <w:sz w:val="24"/>
          <w:szCs w:val="24"/>
        </w:rPr>
        <w:t>bg</w:t>
      </w:r>
      <w:proofErr w:type="spellEnd"/>
      <w:r w:rsidRPr="00BD3276">
        <w:rPr>
          <w:sz w:val="24"/>
          <w:szCs w:val="24"/>
        </w:rPr>
        <w:t xml:space="preserve">) се публикува списък с предложените за отхвърляне на този етап от оценката проектни предложения с посочени основанията за това. Кандидатите, чиито проектни предложения са предложени за отхвърляне могат да подадат писмени възражения </w:t>
      </w:r>
      <w:r w:rsidR="00490FE4">
        <w:rPr>
          <w:sz w:val="24"/>
          <w:szCs w:val="24"/>
        </w:rPr>
        <w:t>чрез ИСУН 2020</w:t>
      </w:r>
      <w:r w:rsidR="009153C6" w:rsidRPr="00BD3276">
        <w:rPr>
          <w:sz w:val="24"/>
          <w:szCs w:val="24"/>
        </w:rPr>
        <w:t xml:space="preserve"> </w:t>
      </w:r>
      <w:r w:rsidR="00FF4C91" w:rsidRPr="00BD3276">
        <w:rPr>
          <w:sz w:val="24"/>
          <w:szCs w:val="24"/>
        </w:rPr>
        <w:t xml:space="preserve">срещу предложението за отхвърлянето им пред ръководителя на управляващия орган в срок до 7 работни дни от деня, следващ датата на публикуване на списъка </w:t>
      </w:r>
      <w:r w:rsidRPr="00BD3276">
        <w:rPr>
          <w:sz w:val="24"/>
          <w:szCs w:val="24"/>
        </w:rPr>
        <w:t>на посочената интернет страница.</w:t>
      </w:r>
      <w:r w:rsidR="002A6640" w:rsidRPr="00BD3276">
        <w:t xml:space="preserve"> </w:t>
      </w:r>
      <w:r w:rsidR="002A6640" w:rsidRPr="00BD3276">
        <w:rPr>
          <w:sz w:val="24"/>
          <w:szCs w:val="24"/>
        </w:rPr>
        <w:t xml:space="preserve">Управляващият орган уведомява </w:t>
      </w:r>
      <w:r w:rsidR="00C21485" w:rsidRPr="00BD3276">
        <w:rPr>
          <w:sz w:val="24"/>
          <w:szCs w:val="24"/>
        </w:rPr>
        <w:t>писмено</w:t>
      </w:r>
      <w:r w:rsidR="008D26A6" w:rsidRPr="00BD3276">
        <w:rPr>
          <w:sz w:val="24"/>
          <w:szCs w:val="24"/>
        </w:rPr>
        <w:t xml:space="preserve"> </w:t>
      </w:r>
      <w:r w:rsidR="002A6640" w:rsidRPr="00BD3276">
        <w:rPr>
          <w:sz w:val="24"/>
          <w:szCs w:val="24"/>
        </w:rPr>
        <w:t>кандидатите за резултатите от разглеждането на техните възражения в срок до 20 работни дни след изтичането на срока за възражения.</w:t>
      </w:r>
    </w:p>
    <w:p w:rsidR="007C2F71" w:rsidRPr="00BD3276" w:rsidRDefault="002A6640"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Процедурата за разглеждане на възраженията протича по реда на чл. 20, ал. 4-13 от ПМС №</w:t>
      </w:r>
      <w:r w:rsidR="005C6E38" w:rsidRPr="00BD3276">
        <w:rPr>
          <w:sz w:val="24"/>
          <w:szCs w:val="24"/>
        </w:rPr>
        <w:t xml:space="preserve"> </w:t>
      </w:r>
      <w:r w:rsidRPr="00BD3276">
        <w:rPr>
          <w:sz w:val="24"/>
          <w:szCs w:val="24"/>
        </w:rPr>
        <w:t>107/2014 г.</w:t>
      </w:r>
    </w:p>
    <w:p w:rsidR="00976F89" w:rsidRPr="00BD3276" w:rsidRDefault="00976F89" w:rsidP="003659D3">
      <w:pPr>
        <w:pStyle w:val="Heading3"/>
        <w:spacing w:before="120" w:after="120"/>
        <w:rPr>
          <w:sz w:val="24"/>
          <w:szCs w:val="24"/>
        </w:rPr>
      </w:pPr>
      <w:bookmarkStart w:id="29" w:name="_Toc418791460"/>
      <w:r w:rsidRPr="00BD3276">
        <w:rPr>
          <w:sz w:val="24"/>
          <w:szCs w:val="24"/>
        </w:rPr>
        <w:t>19.2. Техническа и финансова оценка</w:t>
      </w:r>
      <w:bookmarkEnd w:id="29"/>
    </w:p>
    <w:p w:rsidR="00976F89" w:rsidRPr="00BD3276" w:rsidRDefault="00976F89"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976F89" w:rsidRPr="00BD3276" w:rsidRDefault="00976F89"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76F89" w:rsidRPr="00235CC7" w:rsidRDefault="00976F89"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Критериите за техническа и финансова оценка на проектните предложения са обособени в раздели и подраздели, както е указано в </w:t>
      </w:r>
      <w:r w:rsidRPr="00235CC7">
        <w:rPr>
          <w:sz w:val="24"/>
          <w:szCs w:val="24"/>
        </w:rPr>
        <w:t>Таблицата с критериите за техническа и финансова оценка, по-долу. Критериите за техническа и финансова оценка на проектните предложения по процедурата са</w:t>
      </w:r>
      <w:r w:rsidR="00935BEE" w:rsidRPr="00235CC7">
        <w:rPr>
          <w:sz w:val="24"/>
          <w:szCs w:val="24"/>
        </w:rPr>
        <w:t xml:space="preserve"> подробно указани в Приложение </w:t>
      </w:r>
      <w:r w:rsidR="00235CC7" w:rsidRPr="00235CC7">
        <w:rPr>
          <w:sz w:val="24"/>
          <w:szCs w:val="24"/>
        </w:rPr>
        <w:t>Й</w:t>
      </w:r>
      <w:r w:rsidRPr="00235CC7">
        <w:rPr>
          <w:sz w:val="24"/>
          <w:szCs w:val="24"/>
        </w:rPr>
        <w:t xml:space="preserve"> към Насоките за кандидатстване.</w:t>
      </w:r>
    </w:p>
    <w:p w:rsidR="00656E52" w:rsidRPr="00235CC7" w:rsidRDefault="00656E52"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56E52" w:rsidRPr="00BD3276" w:rsidRDefault="00656E52"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235CC7">
        <w:rPr>
          <w:sz w:val="24"/>
          <w:szCs w:val="24"/>
        </w:rPr>
        <w:t xml:space="preserve">Техническата оценка и финансовата оценка на проектните предложения включва </w:t>
      </w:r>
      <w:r w:rsidR="00DF788E" w:rsidRPr="00235CC7">
        <w:rPr>
          <w:sz w:val="24"/>
          <w:szCs w:val="24"/>
        </w:rPr>
        <w:t xml:space="preserve">и </w:t>
      </w:r>
      <w:r w:rsidRPr="00235CC7">
        <w:rPr>
          <w:sz w:val="24"/>
          <w:szCs w:val="24"/>
        </w:rPr>
        <w:t xml:space="preserve">проверка и оценка на реалистичността, ефективността и допустимостта на всички предвидени дейности и разходи. В случай че в процеса на техническа и финансова оценка Оценителната комисия установи наличието на обстоятелства (напр. включени в проектното предложение недопустими дейности, недопустими и/или нереалистични </w:t>
      </w:r>
      <w:r w:rsidRPr="00235CC7">
        <w:rPr>
          <w:sz w:val="24"/>
          <w:szCs w:val="24"/>
        </w:rPr>
        <w:lastRenderedPageBreak/>
        <w:t>разходи, дублиране на заложени дейности и/или разходи и др.), това може да доведе до изменение на бюджета на проектното предложение</w:t>
      </w:r>
      <w:r w:rsidR="00097E7E" w:rsidRPr="00235CC7">
        <w:rPr>
          <w:sz w:val="24"/>
          <w:szCs w:val="24"/>
        </w:rPr>
        <w:t xml:space="preserve"> (т. 5</w:t>
      </w:r>
      <w:r w:rsidR="00097E7E" w:rsidRPr="00BD3276">
        <w:rPr>
          <w:sz w:val="24"/>
          <w:szCs w:val="24"/>
        </w:rPr>
        <w:t xml:space="preserve"> от Формуляра за кандидатстване)</w:t>
      </w:r>
      <w:r w:rsidRPr="00BD3276">
        <w:rPr>
          <w:sz w:val="24"/>
          <w:szCs w:val="24"/>
        </w:rPr>
        <w:t>.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rsidR="001668BF" w:rsidRPr="00BD3276" w:rsidRDefault="001668BF" w:rsidP="00976F8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91F96" w:rsidRPr="00BD3276" w:rsidRDefault="00991F96"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По време на оценката, предложените индикативни цени за инвестиции в активи ще подлежат на проверка от страна на Оценителната комисия по отношение на реалистичност спрямо посочените цени в приложените оферти/извлечения от каталози на производители/ доставчици и/или проучвания в интернет.</w:t>
      </w:r>
    </w:p>
    <w:p w:rsidR="005D64CA" w:rsidRPr="00BD3276" w:rsidRDefault="005D64CA"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0C1D25" w:rsidRDefault="000C1D25"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В случай че по време на техническата и финансова оценка се установи несъответствие между данните за приключените финансови години 2012, 2013 и 2014 г., посочени в Би</w:t>
      </w:r>
      <w:r w:rsidR="000F1543">
        <w:rPr>
          <w:sz w:val="24"/>
          <w:szCs w:val="24"/>
        </w:rPr>
        <w:t>знес плана (</w:t>
      </w:r>
      <w:r w:rsidR="000F1543" w:rsidRPr="00851EC1">
        <w:rPr>
          <w:sz w:val="24"/>
          <w:szCs w:val="24"/>
        </w:rPr>
        <w:t xml:space="preserve">Приложение </w:t>
      </w:r>
      <w:r w:rsidR="00851EC1" w:rsidRPr="00851EC1">
        <w:rPr>
          <w:sz w:val="24"/>
          <w:szCs w:val="24"/>
        </w:rPr>
        <w:t>Б</w:t>
      </w:r>
      <w:r w:rsidRPr="00851EC1">
        <w:rPr>
          <w:sz w:val="24"/>
          <w:szCs w:val="24"/>
        </w:rPr>
        <w:t>),</w:t>
      </w:r>
      <w:r w:rsidRPr="00BD3276">
        <w:rPr>
          <w:sz w:val="24"/>
          <w:szCs w:val="24"/>
        </w:rPr>
        <w:t xml:space="preserve"> и данните, видни от представените </w:t>
      </w:r>
      <w:proofErr w:type="spellStart"/>
      <w:r w:rsidRPr="00BD3276">
        <w:rPr>
          <w:sz w:val="24"/>
          <w:szCs w:val="24"/>
        </w:rPr>
        <w:t>относими</w:t>
      </w:r>
      <w:proofErr w:type="spellEnd"/>
      <w:r w:rsidRPr="00BD3276">
        <w:rPr>
          <w:sz w:val="24"/>
          <w:szCs w:val="24"/>
        </w:rPr>
        <w:t xml:space="preserve"> финансово-счетоводни документи от кандидата (документите по т. 23, представляващи част от годишния отчет за дейността), Оценителната комисия служебно ще коригира данните в Бизнес плана съгласно информацията от представените финансово-счетоводни документи.</w:t>
      </w:r>
    </w:p>
    <w:p w:rsidR="006A64AF"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A64AF"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6A64AF">
        <w:rPr>
          <w:sz w:val="24"/>
          <w:szCs w:val="24"/>
        </w:rPr>
        <w:t>В случай че по време на техническата и финансова оценка се установи, че в представени</w:t>
      </w:r>
      <w:r w:rsidR="006E3CE0">
        <w:rPr>
          <w:sz w:val="24"/>
          <w:szCs w:val="24"/>
        </w:rPr>
        <w:t>те от кандидата финансово-счетово</w:t>
      </w:r>
      <w:r w:rsidRPr="006A64AF">
        <w:rPr>
          <w:sz w:val="24"/>
          <w:szCs w:val="24"/>
        </w:rPr>
        <w:t>дни документи за 2012, 2013 и 2014 година или на същите, публикувани в Търговския регистър, липсват определени редове (</w:t>
      </w:r>
      <w:proofErr w:type="spellStart"/>
      <w:r w:rsidRPr="006A64AF">
        <w:rPr>
          <w:sz w:val="24"/>
          <w:szCs w:val="24"/>
        </w:rPr>
        <w:t>редове</w:t>
      </w:r>
      <w:proofErr w:type="spellEnd"/>
      <w:r w:rsidRPr="006A64AF">
        <w:rPr>
          <w:sz w:val="24"/>
          <w:szCs w:val="24"/>
        </w:rPr>
        <w:t xml:space="preserve"> по кодове), които участват в изчисленията на критериите съгласно Приложение </w:t>
      </w:r>
      <w:r w:rsidR="00851EC1">
        <w:rPr>
          <w:sz w:val="24"/>
          <w:szCs w:val="24"/>
        </w:rPr>
        <w:t>Й</w:t>
      </w:r>
      <w:r w:rsidRPr="006A64AF">
        <w:rPr>
          <w:sz w:val="24"/>
          <w:szCs w:val="24"/>
        </w:rPr>
        <w:t xml:space="preserve"> към Насоките за кандидатстване, Оценителната комисия ще ги приема за нулеви стойности и ще ги коригира в представения от кандидата Бизнес план (Приложение </w:t>
      </w:r>
      <w:r w:rsidR="00851EC1">
        <w:rPr>
          <w:sz w:val="24"/>
          <w:szCs w:val="24"/>
        </w:rPr>
        <w:t>Б</w:t>
      </w:r>
      <w:r w:rsidRPr="006A64AF">
        <w:rPr>
          <w:sz w:val="24"/>
          <w:szCs w:val="24"/>
        </w:rPr>
        <w:t xml:space="preserve">).      </w:t>
      </w:r>
    </w:p>
    <w:p w:rsidR="006A64AF"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A64AF"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6A64AF">
        <w:rPr>
          <w:sz w:val="24"/>
          <w:szCs w:val="24"/>
        </w:rPr>
        <w:t>В случай на некоректно изчислени редове в представени</w:t>
      </w:r>
      <w:r w:rsidR="006E3CE0">
        <w:rPr>
          <w:sz w:val="24"/>
          <w:szCs w:val="24"/>
        </w:rPr>
        <w:t>те от кандидата финансово-счетово</w:t>
      </w:r>
      <w:r w:rsidRPr="006A64AF">
        <w:rPr>
          <w:sz w:val="24"/>
          <w:szCs w:val="24"/>
        </w:rPr>
        <w:t>дни документи за 2012, 2013 и 2014 година или на същите, публикувани в Търговския регистър, Оценителната комисия ще приема за коректна стойността на определения ред/клетка, като няма да преизчислява нейната стойност съобр</w:t>
      </w:r>
      <w:r>
        <w:rPr>
          <w:sz w:val="24"/>
          <w:szCs w:val="24"/>
        </w:rPr>
        <w:t>азно стойностите на съставните ѝ</w:t>
      </w:r>
      <w:r w:rsidRPr="006A64AF">
        <w:rPr>
          <w:sz w:val="24"/>
          <w:szCs w:val="24"/>
        </w:rPr>
        <w:t xml:space="preserve"> клетки.  </w:t>
      </w:r>
    </w:p>
    <w:p w:rsidR="006A64AF"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6A64AF" w:rsidRPr="00BD3276" w:rsidRDefault="006A64A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6A64AF">
        <w:rPr>
          <w:sz w:val="24"/>
          <w:szCs w:val="24"/>
        </w:rPr>
        <w:t>В случай на разминаване между представени</w:t>
      </w:r>
      <w:r w:rsidR="006E3CE0">
        <w:rPr>
          <w:sz w:val="24"/>
          <w:szCs w:val="24"/>
        </w:rPr>
        <w:t>те от кандидата финансово-счетово</w:t>
      </w:r>
      <w:r w:rsidRPr="006A64AF">
        <w:rPr>
          <w:sz w:val="24"/>
          <w:szCs w:val="24"/>
        </w:rPr>
        <w:t>дни документи за 2012, 2013 и 2014 година и същите, публикувани в Търговския регистър</w:t>
      </w:r>
      <w:r w:rsidR="00DF3D83">
        <w:rPr>
          <w:sz w:val="24"/>
          <w:szCs w:val="24"/>
        </w:rPr>
        <w:t>, водещи ще бъда документите, публикувани в Търговския регистър.</w:t>
      </w:r>
    </w:p>
    <w:p w:rsidR="000C1D25" w:rsidRPr="00BD3276" w:rsidRDefault="000C1D25"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EE5E1F" w:rsidRPr="00BD3276" w:rsidRDefault="00EE5E1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За постигане на достатъчна прецизност и ефективност при оценяване на кандидатите по процедурата при изчисляване на стойностите и показателите по критериите на етап техническа и финансова оценка закръглението ще се извършва до четвъртия знак след десетичната запетая. По отношение на определяне на четвъртия знак след десетичната запетая ще се прилага математическото правило за закръгление, като в случай че </w:t>
      </w:r>
      <w:proofErr w:type="spellStart"/>
      <w:r w:rsidRPr="00BD3276">
        <w:rPr>
          <w:sz w:val="24"/>
          <w:szCs w:val="24"/>
        </w:rPr>
        <w:t>петият</w:t>
      </w:r>
      <w:proofErr w:type="spellEnd"/>
      <w:r w:rsidRPr="00BD3276">
        <w:rPr>
          <w:sz w:val="24"/>
          <w:szCs w:val="24"/>
        </w:rPr>
        <w:t xml:space="preserve"> знак на получената стойност е ≥ 5</w:t>
      </w:r>
      <w:r w:rsidR="00B06069" w:rsidRPr="00BD3276">
        <w:rPr>
          <w:sz w:val="24"/>
          <w:szCs w:val="24"/>
        </w:rPr>
        <w:t>,</w:t>
      </w:r>
      <w:r w:rsidRPr="00BD3276">
        <w:rPr>
          <w:sz w:val="24"/>
          <w:szCs w:val="24"/>
        </w:rPr>
        <w:t xml:space="preserve"> четвъртият знак ще се закръглява към по-голямата от него цифра.</w:t>
      </w:r>
    </w:p>
    <w:p w:rsidR="00EE5E1F" w:rsidRPr="00BD3276" w:rsidRDefault="00EE5E1F" w:rsidP="000C1D2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91F96" w:rsidRPr="00BD3276" w:rsidRDefault="00991F96"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lastRenderedPageBreak/>
        <w:t>В случай че по време на финансовата оценка се установи надвишаване интензитета на безвъзмездната финансова помощ и/или максималният размер на</w:t>
      </w:r>
      <w:r w:rsidR="005D64CA" w:rsidRPr="00BD3276">
        <w:rPr>
          <w:sz w:val="24"/>
          <w:szCs w:val="24"/>
        </w:rPr>
        <w:t xml:space="preserve"> безвъзмездната финансова помощ</w:t>
      </w:r>
      <w:r w:rsidR="00013FB4" w:rsidRPr="00BD3276">
        <w:rPr>
          <w:sz w:val="24"/>
          <w:szCs w:val="24"/>
        </w:rPr>
        <w:t>,</w:t>
      </w:r>
      <w:r w:rsidRPr="00BD3276">
        <w:rPr>
          <w:sz w:val="24"/>
          <w:szCs w:val="24"/>
        </w:rPr>
        <w:t xml:space="preserve"> определен в настоящите Насоки за кандидатстване, Оценителната комисия служебно го намалява до максимално допустимия интензитет и/или размер.</w:t>
      </w:r>
    </w:p>
    <w:p w:rsidR="00497402" w:rsidRPr="00BD3276" w:rsidRDefault="00497402"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85086" w:rsidRPr="00180CE5" w:rsidRDefault="00985086"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lang w:val="en-US"/>
        </w:rPr>
      </w:pPr>
      <w:r w:rsidRPr="00BD3276">
        <w:rPr>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Pr="00180CE5">
        <w:rPr>
          <w:sz w:val="24"/>
          <w:szCs w:val="24"/>
        </w:rPr>
        <w:t xml:space="preserve">Оценителната комисия служебно </w:t>
      </w:r>
      <w:r w:rsidR="008D19CE" w:rsidRPr="00180CE5">
        <w:rPr>
          <w:sz w:val="24"/>
          <w:szCs w:val="24"/>
        </w:rPr>
        <w:t>коригира/</w:t>
      </w:r>
      <w:r w:rsidRPr="00180CE5">
        <w:rPr>
          <w:sz w:val="24"/>
          <w:szCs w:val="24"/>
        </w:rPr>
        <w:t>премахва съответните разходи от бюджета на проекта</w:t>
      </w:r>
      <w:r w:rsidR="00097E7E" w:rsidRPr="00180CE5">
        <w:rPr>
          <w:sz w:val="24"/>
          <w:szCs w:val="24"/>
        </w:rPr>
        <w:t xml:space="preserve"> (т. 5 от Формуляра за кандидатстване)</w:t>
      </w:r>
      <w:r w:rsidRPr="00180CE5">
        <w:rPr>
          <w:sz w:val="24"/>
          <w:szCs w:val="24"/>
        </w:rPr>
        <w:t>.</w:t>
      </w:r>
    </w:p>
    <w:p w:rsidR="00E71CC3" w:rsidRPr="00180CE5" w:rsidRDefault="00E71CC3"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lang w:val="en-US"/>
        </w:rPr>
      </w:pPr>
    </w:p>
    <w:p w:rsidR="00E71CC3" w:rsidRPr="00BD3276" w:rsidRDefault="00E71CC3"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roofErr w:type="spellStart"/>
      <w:proofErr w:type="gramStart"/>
      <w:r w:rsidRPr="00180CE5">
        <w:rPr>
          <w:sz w:val="24"/>
          <w:szCs w:val="24"/>
          <w:lang w:val="en-US"/>
        </w:rPr>
        <w:t>Корекциите</w:t>
      </w:r>
      <w:proofErr w:type="spellEnd"/>
      <w:r w:rsidRPr="00180CE5">
        <w:rPr>
          <w:sz w:val="24"/>
          <w:szCs w:val="24"/>
          <w:lang w:val="en-US"/>
        </w:rPr>
        <w:t xml:space="preserve"> в </w:t>
      </w:r>
      <w:proofErr w:type="spellStart"/>
      <w:r w:rsidRPr="00180CE5">
        <w:rPr>
          <w:sz w:val="24"/>
          <w:szCs w:val="24"/>
          <w:lang w:val="en-US"/>
        </w:rPr>
        <w:t>бюджета</w:t>
      </w:r>
      <w:proofErr w:type="spellEnd"/>
      <w:r w:rsidRPr="00180CE5">
        <w:rPr>
          <w:sz w:val="24"/>
          <w:szCs w:val="24"/>
          <w:lang w:val="en-US"/>
        </w:rPr>
        <w:t xml:space="preserve"> </w:t>
      </w:r>
      <w:proofErr w:type="spellStart"/>
      <w:r w:rsidRPr="00180CE5">
        <w:rPr>
          <w:sz w:val="24"/>
          <w:szCs w:val="24"/>
          <w:lang w:val="en-US"/>
        </w:rPr>
        <w:t>са</w:t>
      </w:r>
      <w:proofErr w:type="spellEnd"/>
      <w:r w:rsidRPr="00180CE5">
        <w:rPr>
          <w:sz w:val="24"/>
          <w:szCs w:val="24"/>
          <w:lang w:val="en-US"/>
        </w:rPr>
        <w:t xml:space="preserve"> </w:t>
      </w:r>
      <w:proofErr w:type="spellStart"/>
      <w:r w:rsidRPr="00180CE5">
        <w:rPr>
          <w:sz w:val="24"/>
          <w:szCs w:val="24"/>
          <w:lang w:val="en-US"/>
        </w:rPr>
        <w:t>финалния</w:t>
      </w:r>
      <w:proofErr w:type="spellEnd"/>
      <w:r w:rsidRPr="00180CE5">
        <w:rPr>
          <w:sz w:val="24"/>
          <w:szCs w:val="24"/>
          <w:lang w:val="en-US"/>
        </w:rPr>
        <w:t xml:space="preserve"> </w:t>
      </w:r>
      <w:proofErr w:type="spellStart"/>
      <w:r w:rsidRPr="00180CE5">
        <w:rPr>
          <w:sz w:val="24"/>
          <w:szCs w:val="24"/>
          <w:lang w:val="en-US"/>
        </w:rPr>
        <w:t>етап</w:t>
      </w:r>
      <w:proofErr w:type="spellEnd"/>
      <w:r w:rsidRPr="00180CE5">
        <w:rPr>
          <w:sz w:val="24"/>
          <w:szCs w:val="24"/>
          <w:lang w:val="en-US"/>
        </w:rPr>
        <w:t xml:space="preserve"> </w:t>
      </w:r>
      <w:proofErr w:type="spellStart"/>
      <w:r w:rsidRPr="00180CE5">
        <w:rPr>
          <w:sz w:val="24"/>
          <w:szCs w:val="24"/>
          <w:lang w:val="en-US"/>
        </w:rPr>
        <w:t>от</w:t>
      </w:r>
      <w:proofErr w:type="spellEnd"/>
      <w:r w:rsidRPr="00180CE5">
        <w:rPr>
          <w:sz w:val="24"/>
          <w:szCs w:val="24"/>
          <w:lang w:val="en-US"/>
        </w:rPr>
        <w:t xml:space="preserve"> </w:t>
      </w:r>
      <w:proofErr w:type="spellStart"/>
      <w:r w:rsidRPr="00180CE5">
        <w:rPr>
          <w:sz w:val="24"/>
          <w:szCs w:val="24"/>
          <w:lang w:val="en-US"/>
        </w:rPr>
        <w:t>техническа</w:t>
      </w:r>
      <w:proofErr w:type="spellEnd"/>
      <w:r w:rsidRPr="00180CE5">
        <w:rPr>
          <w:sz w:val="24"/>
          <w:szCs w:val="24"/>
          <w:lang w:val="en-US"/>
        </w:rPr>
        <w:t xml:space="preserve"> и </w:t>
      </w:r>
      <w:proofErr w:type="spellStart"/>
      <w:r w:rsidRPr="00180CE5">
        <w:rPr>
          <w:sz w:val="24"/>
          <w:szCs w:val="24"/>
          <w:lang w:val="en-US"/>
        </w:rPr>
        <w:t>финансова</w:t>
      </w:r>
      <w:proofErr w:type="spellEnd"/>
      <w:r w:rsidRPr="00180CE5">
        <w:rPr>
          <w:sz w:val="24"/>
          <w:szCs w:val="24"/>
          <w:lang w:val="en-US"/>
        </w:rPr>
        <w:t xml:space="preserve"> </w:t>
      </w:r>
      <w:proofErr w:type="spellStart"/>
      <w:r w:rsidRPr="00180CE5">
        <w:rPr>
          <w:sz w:val="24"/>
          <w:szCs w:val="24"/>
          <w:lang w:val="en-US"/>
        </w:rPr>
        <w:t>оценка</w:t>
      </w:r>
      <w:proofErr w:type="spellEnd"/>
      <w:r w:rsidRPr="00180CE5">
        <w:rPr>
          <w:sz w:val="24"/>
          <w:szCs w:val="24"/>
          <w:lang w:val="en-US"/>
        </w:rPr>
        <w:t xml:space="preserve"> </w:t>
      </w:r>
      <w:proofErr w:type="spellStart"/>
      <w:r w:rsidRPr="00180CE5">
        <w:rPr>
          <w:sz w:val="24"/>
          <w:szCs w:val="24"/>
          <w:lang w:val="en-US"/>
        </w:rPr>
        <w:t>на</w:t>
      </w:r>
      <w:proofErr w:type="spellEnd"/>
      <w:r w:rsidRPr="00180CE5">
        <w:rPr>
          <w:sz w:val="24"/>
          <w:szCs w:val="24"/>
          <w:lang w:val="en-US"/>
        </w:rPr>
        <w:t xml:space="preserve"> </w:t>
      </w:r>
      <w:proofErr w:type="spellStart"/>
      <w:r w:rsidRPr="00180CE5">
        <w:rPr>
          <w:sz w:val="24"/>
          <w:szCs w:val="24"/>
          <w:lang w:val="en-US"/>
        </w:rPr>
        <w:t>проектните</w:t>
      </w:r>
      <w:proofErr w:type="spellEnd"/>
      <w:r w:rsidRPr="00180CE5">
        <w:rPr>
          <w:sz w:val="24"/>
          <w:szCs w:val="24"/>
          <w:lang w:val="en-US"/>
        </w:rPr>
        <w:t xml:space="preserve"> </w:t>
      </w:r>
      <w:proofErr w:type="spellStart"/>
      <w:r w:rsidRPr="00180CE5">
        <w:rPr>
          <w:sz w:val="24"/>
          <w:szCs w:val="24"/>
          <w:lang w:val="en-US"/>
        </w:rPr>
        <w:t>предложения</w:t>
      </w:r>
      <w:proofErr w:type="spellEnd"/>
      <w:r w:rsidRPr="00180CE5">
        <w:rPr>
          <w:sz w:val="24"/>
          <w:szCs w:val="24"/>
          <w:lang w:val="en-US"/>
        </w:rPr>
        <w:t>.</w:t>
      </w:r>
      <w:proofErr w:type="gramEnd"/>
      <w:r w:rsidRPr="00180CE5">
        <w:rPr>
          <w:sz w:val="24"/>
          <w:szCs w:val="24"/>
          <w:lang w:val="en-US"/>
        </w:rPr>
        <w:t xml:space="preserve"> В </w:t>
      </w:r>
      <w:proofErr w:type="spellStart"/>
      <w:r w:rsidRPr="00180CE5">
        <w:rPr>
          <w:sz w:val="24"/>
          <w:szCs w:val="24"/>
          <w:lang w:val="en-US"/>
        </w:rPr>
        <w:t>случай</w:t>
      </w:r>
      <w:proofErr w:type="spellEnd"/>
      <w:r w:rsidRPr="00180CE5">
        <w:rPr>
          <w:sz w:val="24"/>
          <w:szCs w:val="24"/>
          <w:lang w:val="en-US"/>
        </w:rPr>
        <w:t xml:space="preserve"> </w:t>
      </w:r>
      <w:proofErr w:type="spellStart"/>
      <w:r w:rsidRPr="00180CE5">
        <w:rPr>
          <w:sz w:val="24"/>
          <w:szCs w:val="24"/>
          <w:lang w:val="en-US"/>
        </w:rPr>
        <w:t>че</w:t>
      </w:r>
      <w:proofErr w:type="spellEnd"/>
      <w:r w:rsidRPr="00180CE5">
        <w:rPr>
          <w:sz w:val="24"/>
          <w:szCs w:val="24"/>
          <w:lang w:val="en-US"/>
        </w:rPr>
        <w:t xml:space="preserve"> </w:t>
      </w:r>
      <w:proofErr w:type="spellStart"/>
      <w:r w:rsidRPr="00180CE5">
        <w:rPr>
          <w:sz w:val="24"/>
          <w:szCs w:val="24"/>
          <w:lang w:val="en-US"/>
        </w:rPr>
        <w:t>служебно</w:t>
      </w:r>
      <w:proofErr w:type="spellEnd"/>
      <w:r w:rsidRPr="00180CE5">
        <w:rPr>
          <w:sz w:val="24"/>
          <w:szCs w:val="24"/>
          <w:lang w:val="en-US"/>
        </w:rPr>
        <w:t xml:space="preserve"> </w:t>
      </w:r>
      <w:proofErr w:type="spellStart"/>
      <w:r w:rsidRPr="00180CE5">
        <w:rPr>
          <w:sz w:val="24"/>
          <w:szCs w:val="24"/>
          <w:lang w:val="en-US"/>
        </w:rPr>
        <w:t>бъдат</w:t>
      </w:r>
      <w:proofErr w:type="spellEnd"/>
      <w:r w:rsidRPr="00180CE5">
        <w:rPr>
          <w:sz w:val="24"/>
          <w:szCs w:val="24"/>
          <w:lang w:val="en-US"/>
        </w:rPr>
        <w:t xml:space="preserve"> </w:t>
      </w:r>
      <w:proofErr w:type="spellStart"/>
      <w:r w:rsidRPr="00180CE5">
        <w:rPr>
          <w:sz w:val="24"/>
          <w:szCs w:val="24"/>
          <w:lang w:val="en-US"/>
        </w:rPr>
        <w:t>извършени</w:t>
      </w:r>
      <w:proofErr w:type="spellEnd"/>
      <w:r w:rsidRPr="00180CE5">
        <w:rPr>
          <w:sz w:val="24"/>
          <w:szCs w:val="24"/>
          <w:lang w:val="en-US"/>
        </w:rPr>
        <w:t xml:space="preserve"> </w:t>
      </w:r>
      <w:proofErr w:type="spellStart"/>
      <w:r w:rsidRPr="00180CE5">
        <w:rPr>
          <w:sz w:val="24"/>
          <w:szCs w:val="24"/>
          <w:lang w:val="en-US"/>
        </w:rPr>
        <w:t>корекции</w:t>
      </w:r>
      <w:proofErr w:type="spellEnd"/>
      <w:r w:rsidRPr="00180CE5">
        <w:rPr>
          <w:sz w:val="24"/>
          <w:szCs w:val="24"/>
          <w:lang w:val="en-US"/>
        </w:rPr>
        <w:t xml:space="preserve"> </w:t>
      </w:r>
      <w:proofErr w:type="spellStart"/>
      <w:r w:rsidRPr="00180CE5">
        <w:rPr>
          <w:sz w:val="24"/>
          <w:szCs w:val="24"/>
          <w:lang w:val="en-US"/>
        </w:rPr>
        <w:t>на</w:t>
      </w:r>
      <w:proofErr w:type="spellEnd"/>
      <w:r w:rsidRPr="00180CE5">
        <w:rPr>
          <w:sz w:val="24"/>
          <w:szCs w:val="24"/>
          <w:lang w:val="en-US"/>
        </w:rPr>
        <w:t xml:space="preserve"> </w:t>
      </w:r>
      <w:proofErr w:type="spellStart"/>
      <w:r w:rsidRPr="00180CE5">
        <w:rPr>
          <w:sz w:val="24"/>
          <w:szCs w:val="24"/>
          <w:lang w:val="en-US"/>
        </w:rPr>
        <w:t>данни</w:t>
      </w:r>
      <w:proofErr w:type="spellEnd"/>
      <w:r w:rsidRPr="00180CE5">
        <w:rPr>
          <w:sz w:val="24"/>
          <w:szCs w:val="24"/>
          <w:lang w:val="en-US"/>
        </w:rPr>
        <w:t xml:space="preserve"> в </w:t>
      </w:r>
      <w:proofErr w:type="spellStart"/>
      <w:r w:rsidRPr="00180CE5">
        <w:rPr>
          <w:sz w:val="24"/>
          <w:szCs w:val="24"/>
          <w:lang w:val="en-US"/>
        </w:rPr>
        <w:t>бюджета</w:t>
      </w:r>
      <w:proofErr w:type="spellEnd"/>
      <w:r w:rsidRPr="00180CE5">
        <w:rPr>
          <w:sz w:val="24"/>
          <w:szCs w:val="24"/>
          <w:lang w:val="en-US"/>
        </w:rPr>
        <w:t xml:space="preserve"> </w:t>
      </w:r>
      <w:proofErr w:type="spellStart"/>
      <w:r w:rsidRPr="00180CE5">
        <w:rPr>
          <w:sz w:val="24"/>
          <w:szCs w:val="24"/>
          <w:lang w:val="en-US"/>
        </w:rPr>
        <w:t>на</w:t>
      </w:r>
      <w:proofErr w:type="spellEnd"/>
      <w:r w:rsidRPr="00180CE5">
        <w:rPr>
          <w:sz w:val="24"/>
          <w:szCs w:val="24"/>
          <w:lang w:val="en-US"/>
        </w:rPr>
        <w:t xml:space="preserve"> </w:t>
      </w:r>
      <w:proofErr w:type="spellStart"/>
      <w:r w:rsidRPr="00180CE5">
        <w:rPr>
          <w:sz w:val="24"/>
          <w:szCs w:val="24"/>
          <w:lang w:val="en-US"/>
        </w:rPr>
        <w:t>проекта</w:t>
      </w:r>
      <w:proofErr w:type="spellEnd"/>
      <w:r w:rsidRPr="00180CE5">
        <w:rPr>
          <w:sz w:val="24"/>
          <w:szCs w:val="24"/>
          <w:lang w:val="en-US"/>
        </w:rPr>
        <w:t xml:space="preserve"> </w:t>
      </w:r>
      <w:proofErr w:type="spellStart"/>
      <w:r w:rsidRPr="00180CE5">
        <w:rPr>
          <w:sz w:val="24"/>
          <w:szCs w:val="24"/>
          <w:lang w:val="en-US"/>
        </w:rPr>
        <w:t>на</w:t>
      </w:r>
      <w:proofErr w:type="spellEnd"/>
      <w:r w:rsidRPr="00180CE5">
        <w:rPr>
          <w:sz w:val="24"/>
          <w:szCs w:val="24"/>
          <w:lang w:val="en-US"/>
        </w:rPr>
        <w:t xml:space="preserve"> </w:t>
      </w:r>
      <w:proofErr w:type="spellStart"/>
      <w:r w:rsidRPr="00180CE5">
        <w:rPr>
          <w:sz w:val="24"/>
          <w:szCs w:val="24"/>
          <w:lang w:val="en-US"/>
        </w:rPr>
        <w:t>етап</w:t>
      </w:r>
      <w:proofErr w:type="spellEnd"/>
      <w:r w:rsidRPr="00180CE5">
        <w:rPr>
          <w:sz w:val="24"/>
          <w:szCs w:val="24"/>
          <w:lang w:val="en-US"/>
        </w:rPr>
        <w:t xml:space="preserve"> </w:t>
      </w:r>
      <w:proofErr w:type="spellStart"/>
      <w:r w:rsidRPr="00180CE5">
        <w:rPr>
          <w:sz w:val="24"/>
          <w:szCs w:val="24"/>
          <w:lang w:val="en-US"/>
        </w:rPr>
        <w:t>техническа</w:t>
      </w:r>
      <w:proofErr w:type="spellEnd"/>
      <w:r w:rsidRPr="00180CE5">
        <w:rPr>
          <w:sz w:val="24"/>
          <w:szCs w:val="24"/>
          <w:lang w:val="en-US"/>
        </w:rPr>
        <w:t xml:space="preserve"> и </w:t>
      </w:r>
      <w:proofErr w:type="spellStart"/>
      <w:r w:rsidRPr="00180CE5">
        <w:rPr>
          <w:sz w:val="24"/>
          <w:szCs w:val="24"/>
          <w:lang w:val="en-US"/>
        </w:rPr>
        <w:t>финансова</w:t>
      </w:r>
      <w:proofErr w:type="spellEnd"/>
      <w:r w:rsidRPr="00180CE5">
        <w:rPr>
          <w:sz w:val="24"/>
          <w:szCs w:val="24"/>
          <w:lang w:val="en-US"/>
        </w:rPr>
        <w:t xml:space="preserve"> </w:t>
      </w:r>
      <w:proofErr w:type="spellStart"/>
      <w:r w:rsidRPr="00180CE5">
        <w:rPr>
          <w:sz w:val="24"/>
          <w:szCs w:val="24"/>
          <w:lang w:val="en-US"/>
        </w:rPr>
        <w:t>оценка</w:t>
      </w:r>
      <w:proofErr w:type="spellEnd"/>
      <w:r w:rsidRPr="00180CE5">
        <w:rPr>
          <w:sz w:val="24"/>
          <w:szCs w:val="24"/>
          <w:lang w:val="en-US"/>
        </w:rPr>
        <w:t xml:space="preserve">, </w:t>
      </w:r>
      <w:proofErr w:type="spellStart"/>
      <w:r w:rsidRPr="00180CE5">
        <w:rPr>
          <w:sz w:val="24"/>
          <w:szCs w:val="24"/>
          <w:lang w:val="en-US"/>
        </w:rPr>
        <w:t>съблюдавайки</w:t>
      </w:r>
      <w:proofErr w:type="spellEnd"/>
      <w:r w:rsidRPr="00180CE5">
        <w:rPr>
          <w:sz w:val="24"/>
          <w:szCs w:val="24"/>
          <w:lang w:val="en-US"/>
        </w:rPr>
        <w:t xml:space="preserve"> </w:t>
      </w:r>
      <w:proofErr w:type="spellStart"/>
      <w:r w:rsidRPr="00180CE5">
        <w:rPr>
          <w:sz w:val="24"/>
          <w:szCs w:val="24"/>
          <w:lang w:val="en-US"/>
        </w:rPr>
        <w:t>Приложение</w:t>
      </w:r>
      <w:proofErr w:type="spellEnd"/>
      <w:r w:rsidR="00180CE5" w:rsidRPr="00180CE5">
        <w:rPr>
          <w:sz w:val="24"/>
          <w:szCs w:val="24"/>
        </w:rPr>
        <w:t xml:space="preserve"> Й</w:t>
      </w:r>
      <w:r w:rsidRPr="00180CE5">
        <w:rPr>
          <w:sz w:val="24"/>
          <w:szCs w:val="24"/>
          <w:lang w:val="en-US"/>
        </w:rPr>
        <w:t xml:space="preserve"> </w:t>
      </w:r>
      <w:proofErr w:type="spellStart"/>
      <w:r w:rsidRPr="00180CE5">
        <w:rPr>
          <w:sz w:val="24"/>
          <w:szCs w:val="24"/>
          <w:lang w:val="en-US"/>
        </w:rPr>
        <w:t>от</w:t>
      </w:r>
      <w:proofErr w:type="spellEnd"/>
      <w:r w:rsidRPr="00180CE5">
        <w:rPr>
          <w:sz w:val="24"/>
          <w:szCs w:val="24"/>
          <w:lang w:val="en-US"/>
        </w:rPr>
        <w:t xml:space="preserve"> </w:t>
      </w:r>
      <w:proofErr w:type="spellStart"/>
      <w:r w:rsidRPr="00180CE5">
        <w:rPr>
          <w:sz w:val="24"/>
          <w:szCs w:val="24"/>
          <w:lang w:val="en-US"/>
        </w:rPr>
        <w:t>пакета</w:t>
      </w:r>
      <w:proofErr w:type="spellEnd"/>
      <w:r w:rsidRPr="00BD3276">
        <w:rPr>
          <w:sz w:val="24"/>
          <w:szCs w:val="24"/>
          <w:lang w:val="en-US"/>
        </w:rPr>
        <w:t xml:space="preserve"> </w:t>
      </w:r>
      <w:proofErr w:type="spellStart"/>
      <w:r w:rsidRPr="00BD3276">
        <w:rPr>
          <w:sz w:val="24"/>
          <w:szCs w:val="24"/>
          <w:lang w:val="en-US"/>
        </w:rPr>
        <w:t>документи</w:t>
      </w:r>
      <w:proofErr w:type="spellEnd"/>
      <w:r w:rsidRPr="00BD3276">
        <w:rPr>
          <w:sz w:val="24"/>
          <w:szCs w:val="24"/>
          <w:lang w:val="en-US"/>
        </w:rPr>
        <w:t xml:space="preserve"> (</w:t>
      </w:r>
      <w:proofErr w:type="spellStart"/>
      <w:r w:rsidR="00955EE0" w:rsidRPr="00BD3276">
        <w:rPr>
          <w:sz w:val="24"/>
          <w:szCs w:val="24"/>
          <w:lang w:val="en-US"/>
        </w:rPr>
        <w:t>Критерии</w:t>
      </w:r>
      <w:proofErr w:type="spellEnd"/>
      <w:r w:rsidR="00955EE0" w:rsidRPr="00BD3276">
        <w:rPr>
          <w:sz w:val="24"/>
          <w:szCs w:val="24"/>
          <w:lang w:val="en-US"/>
        </w:rPr>
        <w:t xml:space="preserve"> и </w:t>
      </w:r>
      <w:proofErr w:type="spellStart"/>
      <w:r w:rsidR="00955EE0" w:rsidRPr="00BD3276">
        <w:rPr>
          <w:sz w:val="24"/>
          <w:szCs w:val="24"/>
          <w:lang w:val="en-US"/>
        </w:rPr>
        <w:t>методология</w:t>
      </w:r>
      <w:proofErr w:type="spellEnd"/>
      <w:r w:rsidR="00955EE0" w:rsidRPr="00BD3276">
        <w:rPr>
          <w:sz w:val="24"/>
          <w:szCs w:val="24"/>
          <w:lang w:val="en-US"/>
        </w:rPr>
        <w:t xml:space="preserve"> </w:t>
      </w:r>
      <w:proofErr w:type="spellStart"/>
      <w:r w:rsidR="00955EE0" w:rsidRPr="00BD3276">
        <w:rPr>
          <w:sz w:val="24"/>
          <w:szCs w:val="24"/>
          <w:lang w:val="en-US"/>
        </w:rPr>
        <w:t>за</w:t>
      </w:r>
      <w:proofErr w:type="spellEnd"/>
      <w:r w:rsidR="00955EE0" w:rsidRPr="00BD3276">
        <w:rPr>
          <w:sz w:val="24"/>
          <w:szCs w:val="24"/>
          <w:lang w:val="en-US"/>
        </w:rPr>
        <w:t xml:space="preserve"> </w:t>
      </w:r>
      <w:proofErr w:type="spellStart"/>
      <w:r w:rsidR="00955EE0" w:rsidRPr="00BD3276">
        <w:rPr>
          <w:sz w:val="24"/>
          <w:szCs w:val="24"/>
          <w:lang w:val="en-US"/>
        </w:rPr>
        <w:t>оценка</w:t>
      </w:r>
      <w:proofErr w:type="spellEnd"/>
      <w:r w:rsidR="00955EE0" w:rsidRPr="00BD3276">
        <w:rPr>
          <w:sz w:val="24"/>
          <w:szCs w:val="24"/>
          <w:lang w:val="en-US"/>
        </w:rPr>
        <w:t xml:space="preserve"> </w:t>
      </w:r>
      <w:proofErr w:type="spellStart"/>
      <w:r w:rsidR="00955EE0" w:rsidRPr="00BD3276">
        <w:rPr>
          <w:sz w:val="24"/>
          <w:szCs w:val="24"/>
          <w:lang w:val="en-US"/>
        </w:rPr>
        <w:t>на</w:t>
      </w:r>
      <w:proofErr w:type="spellEnd"/>
      <w:r w:rsidR="00955EE0" w:rsidRPr="00BD3276">
        <w:rPr>
          <w:sz w:val="24"/>
          <w:szCs w:val="24"/>
          <w:lang w:val="en-US"/>
        </w:rPr>
        <w:t xml:space="preserve"> </w:t>
      </w:r>
      <w:proofErr w:type="spellStart"/>
      <w:r w:rsidR="00955EE0" w:rsidRPr="00BD3276">
        <w:rPr>
          <w:sz w:val="24"/>
          <w:szCs w:val="24"/>
          <w:lang w:val="en-US"/>
        </w:rPr>
        <w:t>проектните</w:t>
      </w:r>
      <w:proofErr w:type="spellEnd"/>
      <w:r w:rsidR="00955EE0" w:rsidRPr="00BD3276">
        <w:rPr>
          <w:sz w:val="24"/>
          <w:szCs w:val="24"/>
          <w:lang w:val="en-US"/>
        </w:rPr>
        <w:t xml:space="preserve"> </w:t>
      </w:r>
      <w:proofErr w:type="spellStart"/>
      <w:r w:rsidR="00955EE0" w:rsidRPr="00BD3276">
        <w:rPr>
          <w:sz w:val="24"/>
          <w:szCs w:val="24"/>
          <w:lang w:val="en-US"/>
        </w:rPr>
        <w:t>предложения</w:t>
      </w:r>
      <w:proofErr w:type="spellEnd"/>
      <w:r w:rsidRPr="00BD3276">
        <w:rPr>
          <w:sz w:val="24"/>
          <w:szCs w:val="24"/>
          <w:lang w:val="en-US"/>
        </w:rPr>
        <w:t xml:space="preserve">), </w:t>
      </w:r>
      <w:proofErr w:type="spellStart"/>
      <w:r w:rsidRPr="00BD3276">
        <w:rPr>
          <w:sz w:val="24"/>
          <w:szCs w:val="24"/>
          <w:lang w:val="en-US"/>
        </w:rPr>
        <w:t>Оценителната</w:t>
      </w:r>
      <w:proofErr w:type="spellEnd"/>
      <w:r w:rsidRPr="00BD3276">
        <w:rPr>
          <w:sz w:val="24"/>
          <w:szCs w:val="24"/>
          <w:lang w:val="en-US"/>
        </w:rPr>
        <w:t xml:space="preserve"> </w:t>
      </w:r>
      <w:proofErr w:type="spellStart"/>
      <w:r w:rsidRPr="00BD3276">
        <w:rPr>
          <w:sz w:val="24"/>
          <w:szCs w:val="24"/>
          <w:lang w:val="en-US"/>
        </w:rPr>
        <w:t>комисия</w:t>
      </w:r>
      <w:proofErr w:type="spellEnd"/>
      <w:r w:rsidRPr="00BD3276">
        <w:rPr>
          <w:sz w:val="24"/>
          <w:szCs w:val="24"/>
          <w:lang w:val="en-US"/>
        </w:rPr>
        <w:t xml:space="preserve"> </w:t>
      </w:r>
      <w:proofErr w:type="spellStart"/>
      <w:r w:rsidRPr="00BD3276">
        <w:rPr>
          <w:sz w:val="24"/>
          <w:szCs w:val="24"/>
          <w:lang w:val="en-US"/>
        </w:rPr>
        <w:t>няма</w:t>
      </w:r>
      <w:proofErr w:type="spellEnd"/>
      <w:r w:rsidRPr="00BD3276">
        <w:rPr>
          <w:sz w:val="24"/>
          <w:szCs w:val="24"/>
          <w:lang w:val="en-US"/>
        </w:rPr>
        <w:t xml:space="preserve"> </w:t>
      </w:r>
      <w:proofErr w:type="spellStart"/>
      <w:r w:rsidRPr="00BD3276">
        <w:rPr>
          <w:sz w:val="24"/>
          <w:szCs w:val="24"/>
          <w:lang w:val="en-US"/>
        </w:rPr>
        <w:t>да</w:t>
      </w:r>
      <w:proofErr w:type="spellEnd"/>
      <w:r w:rsidRPr="00BD3276">
        <w:rPr>
          <w:sz w:val="24"/>
          <w:szCs w:val="24"/>
          <w:lang w:val="en-US"/>
        </w:rPr>
        <w:t xml:space="preserve"> </w:t>
      </w:r>
      <w:proofErr w:type="spellStart"/>
      <w:r w:rsidRPr="00BD3276">
        <w:rPr>
          <w:sz w:val="24"/>
          <w:szCs w:val="24"/>
          <w:lang w:val="en-US"/>
        </w:rPr>
        <w:t>извършва</w:t>
      </w:r>
      <w:proofErr w:type="spellEnd"/>
      <w:r w:rsidRPr="00BD3276">
        <w:rPr>
          <w:sz w:val="24"/>
          <w:szCs w:val="24"/>
          <w:lang w:val="en-US"/>
        </w:rPr>
        <w:t xml:space="preserve"> </w:t>
      </w:r>
      <w:proofErr w:type="spellStart"/>
      <w:r w:rsidRPr="00BD3276">
        <w:rPr>
          <w:sz w:val="24"/>
          <w:szCs w:val="24"/>
          <w:lang w:val="en-US"/>
        </w:rPr>
        <w:t>допълнително</w:t>
      </w:r>
      <w:proofErr w:type="spellEnd"/>
      <w:r w:rsidRPr="00BD3276">
        <w:rPr>
          <w:sz w:val="24"/>
          <w:szCs w:val="24"/>
          <w:lang w:val="en-US"/>
        </w:rPr>
        <w:t xml:space="preserve"> </w:t>
      </w:r>
      <w:proofErr w:type="spellStart"/>
      <w:r w:rsidRPr="00BD3276">
        <w:rPr>
          <w:sz w:val="24"/>
          <w:szCs w:val="24"/>
          <w:lang w:val="en-US"/>
        </w:rPr>
        <w:t>преразглеждане</w:t>
      </w:r>
      <w:proofErr w:type="spellEnd"/>
      <w:r w:rsidRPr="00BD3276">
        <w:rPr>
          <w:sz w:val="24"/>
          <w:szCs w:val="24"/>
          <w:lang w:val="en-US"/>
        </w:rPr>
        <w:t xml:space="preserve"> </w:t>
      </w:r>
      <w:proofErr w:type="spellStart"/>
      <w:r w:rsidRPr="00BD3276">
        <w:rPr>
          <w:sz w:val="24"/>
          <w:szCs w:val="24"/>
          <w:lang w:val="en-US"/>
        </w:rPr>
        <w:t>на</w:t>
      </w:r>
      <w:proofErr w:type="spellEnd"/>
      <w:r w:rsidRPr="00BD3276">
        <w:rPr>
          <w:sz w:val="24"/>
          <w:szCs w:val="24"/>
          <w:lang w:val="en-US"/>
        </w:rPr>
        <w:t xml:space="preserve"> </w:t>
      </w:r>
      <w:proofErr w:type="spellStart"/>
      <w:r w:rsidRPr="00BD3276">
        <w:rPr>
          <w:sz w:val="24"/>
          <w:szCs w:val="24"/>
          <w:lang w:val="en-US"/>
        </w:rPr>
        <w:t>критериите</w:t>
      </w:r>
      <w:proofErr w:type="spellEnd"/>
      <w:r w:rsidRPr="00BD3276">
        <w:rPr>
          <w:sz w:val="24"/>
          <w:szCs w:val="24"/>
          <w:lang w:val="en-US"/>
        </w:rPr>
        <w:t xml:space="preserve">, </w:t>
      </w:r>
      <w:proofErr w:type="spellStart"/>
      <w:r w:rsidRPr="00BD3276">
        <w:rPr>
          <w:sz w:val="24"/>
          <w:szCs w:val="24"/>
          <w:lang w:val="en-US"/>
        </w:rPr>
        <w:t>върху</w:t>
      </w:r>
      <w:proofErr w:type="spellEnd"/>
      <w:r w:rsidRPr="00BD3276">
        <w:rPr>
          <w:sz w:val="24"/>
          <w:szCs w:val="24"/>
          <w:lang w:val="en-US"/>
        </w:rPr>
        <w:t xml:space="preserve"> </w:t>
      </w:r>
      <w:proofErr w:type="spellStart"/>
      <w:r w:rsidRPr="00BD3276">
        <w:rPr>
          <w:sz w:val="24"/>
          <w:szCs w:val="24"/>
          <w:lang w:val="en-US"/>
        </w:rPr>
        <w:t>които</w:t>
      </w:r>
      <w:proofErr w:type="spellEnd"/>
      <w:r w:rsidRPr="00BD3276">
        <w:rPr>
          <w:sz w:val="24"/>
          <w:szCs w:val="24"/>
          <w:lang w:val="en-US"/>
        </w:rPr>
        <w:t xml:space="preserve"> </w:t>
      </w:r>
      <w:proofErr w:type="spellStart"/>
      <w:proofErr w:type="gramStart"/>
      <w:r w:rsidRPr="00BD3276">
        <w:rPr>
          <w:sz w:val="24"/>
          <w:szCs w:val="24"/>
          <w:lang w:val="en-US"/>
        </w:rPr>
        <w:t>коригираните</w:t>
      </w:r>
      <w:proofErr w:type="spellEnd"/>
      <w:r w:rsidRPr="00BD3276">
        <w:rPr>
          <w:sz w:val="24"/>
          <w:szCs w:val="24"/>
          <w:lang w:val="en-US"/>
        </w:rPr>
        <w:t xml:space="preserve">  </w:t>
      </w:r>
      <w:proofErr w:type="spellStart"/>
      <w:r w:rsidRPr="00BD3276">
        <w:rPr>
          <w:sz w:val="24"/>
          <w:szCs w:val="24"/>
          <w:lang w:val="en-US"/>
        </w:rPr>
        <w:t>данни</w:t>
      </w:r>
      <w:proofErr w:type="spellEnd"/>
      <w:proofErr w:type="gramEnd"/>
      <w:r w:rsidRPr="00BD3276">
        <w:rPr>
          <w:sz w:val="24"/>
          <w:szCs w:val="24"/>
          <w:lang w:val="en-US"/>
        </w:rPr>
        <w:t xml:space="preserve"> в </w:t>
      </w:r>
      <w:proofErr w:type="spellStart"/>
      <w:r w:rsidRPr="00BD3276">
        <w:rPr>
          <w:sz w:val="24"/>
          <w:szCs w:val="24"/>
          <w:lang w:val="en-US"/>
        </w:rPr>
        <w:t>бюджета</w:t>
      </w:r>
      <w:proofErr w:type="spellEnd"/>
      <w:r w:rsidRPr="00BD3276">
        <w:rPr>
          <w:sz w:val="24"/>
          <w:szCs w:val="24"/>
          <w:lang w:val="en-US"/>
        </w:rPr>
        <w:t xml:space="preserve"> </w:t>
      </w:r>
      <w:proofErr w:type="spellStart"/>
      <w:r w:rsidRPr="00BD3276">
        <w:rPr>
          <w:sz w:val="24"/>
          <w:szCs w:val="24"/>
          <w:lang w:val="en-US"/>
        </w:rPr>
        <w:t>биха</w:t>
      </w:r>
      <w:proofErr w:type="spellEnd"/>
      <w:r w:rsidRPr="00BD3276">
        <w:rPr>
          <w:sz w:val="24"/>
          <w:szCs w:val="24"/>
          <w:lang w:val="en-US"/>
        </w:rPr>
        <w:t xml:space="preserve"> </w:t>
      </w:r>
      <w:proofErr w:type="spellStart"/>
      <w:r w:rsidRPr="00BD3276">
        <w:rPr>
          <w:sz w:val="24"/>
          <w:szCs w:val="24"/>
          <w:lang w:val="en-US"/>
        </w:rPr>
        <w:t>се</w:t>
      </w:r>
      <w:proofErr w:type="spellEnd"/>
      <w:r w:rsidRPr="00BD3276">
        <w:rPr>
          <w:sz w:val="24"/>
          <w:szCs w:val="24"/>
          <w:lang w:val="en-US"/>
        </w:rPr>
        <w:t xml:space="preserve"> </w:t>
      </w:r>
      <w:proofErr w:type="spellStart"/>
      <w:r w:rsidRPr="00BD3276">
        <w:rPr>
          <w:sz w:val="24"/>
          <w:szCs w:val="24"/>
          <w:lang w:val="en-US"/>
        </w:rPr>
        <w:t>отразили</w:t>
      </w:r>
      <w:proofErr w:type="spellEnd"/>
      <w:r w:rsidRPr="00BD3276">
        <w:rPr>
          <w:sz w:val="24"/>
          <w:szCs w:val="24"/>
          <w:lang w:val="en-US"/>
        </w:rPr>
        <w:t>.</w:t>
      </w:r>
    </w:p>
    <w:p w:rsidR="00991F96" w:rsidRPr="00BD3276" w:rsidRDefault="00991F96" w:rsidP="00991F9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E33915" w:rsidRPr="00BD3276" w:rsidRDefault="00991F96" w:rsidP="000C652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Извън тази проверка е възможно да бъдат установени и други обстоятелства, които да изискват </w:t>
      </w:r>
      <w:r w:rsidR="007C2F71" w:rsidRPr="00BD3276">
        <w:rPr>
          <w:sz w:val="24"/>
          <w:szCs w:val="24"/>
        </w:rPr>
        <w:t>допълнителна пояснителна информация или документ от кандидатите</w:t>
      </w:r>
      <w:r w:rsidR="007C2F71" w:rsidRPr="00BD3276" w:rsidDel="007C2F71">
        <w:rPr>
          <w:sz w:val="24"/>
          <w:szCs w:val="24"/>
        </w:rPr>
        <w:t xml:space="preserve"> </w:t>
      </w:r>
      <w:r w:rsidRPr="00BD3276">
        <w:rPr>
          <w:sz w:val="24"/>
          <w:szCs w:val="24"/>
        </w:rPr>
        <w:t>относно декларираните обстоятелства и представе</w:t>
      </w:r>
      <w:r w:rsidR="00CC51AF" w:rsidRPr="00BD3276">
        <w:rPr>
          <w:sz w:val="24"/>
          <w:szCs w:val="24"/>
        </w:rPr>
        <w:t>ните документи, съгласно т. 23</w:t>
      </w:r>
      <w:r w:rsidRPr="00BD3276">
        <w:rPr>
          <w:sz w:val="24"/>
          <w:szCs w:val="24"/>
        </w:rPr>
        <w:t xml:space="preserve"> от Насоките за кандидатстване. Допълнителни разяснения </w:t>
      </w:r>
      <w:r w:rsidR="007C2F71" w:rsidRPr="00BD3276">
        <w:rPr>
          <w:sz w:val="24"/>
          <w:szCs w:val="24"/>
        </w:rPr>
        <w:t xml:space="preserve">и документи </w:t>
      </w:r>
      <w:r w:rsidRPr="00BD3276">
        <w:rPr>
          <w:sz w:val="24"/>
          <w:szCs w:val="24"/>
        </w:rPr>
        <w:t xml:space="preserve">от кандидатите могат да бъдат изискани като за целта ще бъде предоставян срок от </w:t>
      </w:r>
      <w:r w:rsidR="007C2F71" w:rsidRPr="00BD3276">
        <w:rPr>
          <w:sz w:val="24"/>
          <w:szCs w:val="24"/>
        </w:rPr>
        <w:t xml:space="preserve">5 </w:t>
      </w:r>
      <w:r w:rsidRPr="00BD3276">
        <w:rPr>
          <w:sz w:val="24"/>
          <w:szCs w:val="24"/>
        </w:rPr>
        <w:t>(</w:t>
      </w:r>
      <w:r w:rsidR="007C2F71" w:rsidRPr="00BD3276">
        <w:rPr>
          <w:sz w:val="24"/>
          <w:szCs w:val="24"/>
        </w:rPr>
        <w:t>пет</w:t>
      </w:r>
      <w:r w:rsidRPr="00BD3276">
        <w:rPr>
          <w:sz w:val="24"/>
          <w:szCs w:val="24"/>
        </w:rPr>
        <w:t>) работни дни от датата на получаване на искането за предоставяне на допълнителни разяснения/документи, като денят на получаване на искането не се брои.</w:t>
      </w:r>
      <w:r w:rsidR="00BB4E4B" w:rsidRPr="00BD3276">
        <w:rPr>
          <w:sz w:val="24"/>
          <w:szCs w:val="24"/>
        </w:rPr>
        <w:t xml:space="preserve"> </w:t>
      </w:r>
      <w:r w:rsidR="00602204" w:rsidRPr="00BD3276">
        <w:rPr>
          <w:sz w:val="24"/>
          <w:szCs w:val="24"/>
        </w:rPr>
        <w:t>Исканията за представяне на допълнителни документи и разяснения ще се изпращат през ИСУН 2020 чрез електронния профил на кандидата</w:t>
      </w:r>
      <w:r w:rsidR="008D3461" w:rsidRPr="00BD3276">
        <w:rPr>
          <w:sz w:val="24"/>
          <w:szCs w:val="24"/>
        </w:rPr>
        <w:t xml:space="preserve">, като кандидатът ще бъде известяван за посоченото електронно чрез електронния адрес, асоцииран към </w:t>
      </w:r>
      <w:r w:rsidR="00DA48AB" w:rsidRPr="00BD3276">
        <w:rPr>
          <w:sz w:val="24"/>
          <w:szCs w:val="24"/>
        </w:rPr>
        <w:t xml:space="preserve">неговия </w:t>
      </w:r>
      <w:r w:rsidR="008D3461" w:rsidRPr="00BD3276">
        <w:rPr>
          <w:sz w:val="24"/>
          <w:szCs w:val="24"/>
        </w:rPr>
        <w:t>профил.</w:t>
      </w:r>
      <w:r w:rsidR="00602204" w:rsidRPr="00BD3276">
        <w:rPr>
          <w:sz w:val="24"/>
          <w:szCs w:val="24"/>
        </w:rPr>
        <w:t xml:space="preserve"> </w:t>
      </w:r>
      <w:r w:rsidR="00BB4E4B" w:rsidRPr="00BD3276">
        <w:rPr>
          <w:sz w:val="24"/>
          <w:szCs w:val="24"/>
        </w:rPr>
        <w:t xml:space="preserve">За дата на получаване </w:t>
      </w:r>
      <w:r w:rsidR="00A131F4" w:rsidRPr="00BD3276">
        <w:rPr>
          <w:sz w:val="24"/>
          <w:szCs w:val="24"/>
        </w:rPr>
        <w:t xml:space="preserve">на исканията за документи/информация </w:t>
      </w:r>
      <w:r w:rsidR="00BB4E4B" w:rsidRPr="00BD3276">
        <w:rPr>
          <w:sz w:val="24"/>
          <w:szCs w:val="24"/>
        </w:rPr>
        <w:t>се счита датата отбелязана в ИСУН</w:t>
      </w:r>
      <w:r w:rsidR="00C21485" w:rsidRPr="00BD3276">
        <w:rPr>
          <w:sz w:val="24"/>
          <w:szCs w:val="24"/>
        </w:rPr>
        <w:t xml:space="preserve"> 2020</w:t>
      </w:r>
      <w:r w:rsidR="008D3461" w:rsidRPr="00BD3276">
        <w:rPr>
          <w:sz w:val="24"/>
          <w:szCs w:val="24"/>
        </w:rPr>
        <w:t xml:space="preserve">, на която кандидатът е влязъл в </w:t>
      </w:r>
      <w:r w:rsidR="008D3461" w:rsidRPr="00DA3A55">
        <w:rPr>
          <w:sz w:val="24"/>
          <w:szCs w:val="24"/>
        </w:rPr>
        <w:t xml:space="preserve">профила си за да провери </w:t>
      </w:r>
      <w:r w:rsidR="00DA48AB" w:rsidRPr="00DA3A55">
        <w:rPr>
          <w:sz w:val="24"/>
          <w:szCs w:val="24"/>
        </w:rPr>
        <w:t xml:space="preserve">съдържанието на </w:t>
      </w:r>
      <w:r w:rsidR="008D3461" w:rsidRPr="00DA3A55">
        <w:rPr>
          <w:sz w:val="24"/>
          <w:szCs w:val="24"/>
        </w:rPr>
        <w:t>изпратеното чрез ИСУН искане</w:t>
      </w:r>
      <w:r w:rsidR="00BB4E4B" w:rsidRPr="00DA3A55">
        <w:rPr>
          <w:sz w:val="24"/>
          <w:szCs w:val="24"/>
        </w:rPr>
        <w:t>.</w:t>
      </w:r>
      <w:r w:rsidR="00A10D92" w:rsidRPr="00DA3A55">
        <w:rPr>
          <w:sz w:val="24"/>
          <w:szCs w:val="24"/>
        </w:rPr>
        <w:t xml:space="preserve"> В случай че </w:t>
      </w:r>
      <w:r w:rsidR="006B3224" w:rsidRPr="00DA3A55">
        <w:rPr>
          <w:sz w:val="24"/>
          <w:szCs w:val="24"/>
        </w:rPr>
        <w:t>посоченото действие не бъде отразено в ИСУН</w:t>
      </w:r>
      <w:r w:rsidR="00A10D92" w:rsidRPr="00DA3A55">
        <w:rPr>
          <w:sz w:val="24"/>
          <w:szCs w:val="24"/>
        </w:rPr>
        <w:t xml:space="preserve"> в рамките на </w:t>
      </w:r>
      <w:r w:rsidR="004404DC" w:rsidRPr="00DA3A55">
        <w:rPr>
          <w:sz w:val="24"/>
          <w:szCs w:val="24"/>
        </w:rPr>
        <w:t>3</w:t>
      </w:r>
      <w:r w:rsidR="00A10D92" w:rsidRPr="00DA3A55">
        <w:rPr>
          <w:sz w:val="24"/>
          <w:szCs w:val="24"/>
        </w:rPr>
        <w:t xml:space="preserve"> дни от изпращане на искането, срокът за представяне на допълнителни документи/информация</w:t>
      </w:r>
      <w:r w:rsidR="006B3224" w:rsidRPr="00DA3A55">
        <w:rPr>
          <w:sz w:val="24"/>
          <w:szCs w:val="24"/>
        </w:rPr>
        <w:t xml:space="preserve"> започва да тече от деня</w:t>
      </w:r>
      <w:r w:rsidR="005E153F" w:rsidRPr="00DA3A55">
        <w:rPr>
          <w:sz w:val="24"/>
          <w:szCs w:val="24"/>
        </w:rPr>
        <w:t>,</w:t>
      </w:r>
      <w:r w:rsidR="006B3224" w:rsidRPr="00DA3A55">
        <w:rPr>
          <w:sz w:val="24"/>
          <w:szCs w:val="24"/>
        </w:rPr>
        <w:t xml:space="preserve"> следващ изтичането на </w:t>
      </w:r>
      <w:r w:rsidR="005E153F" w:rsidRPr="00DA3A55">
        <w:rPr>
          <w:sz w:val="24"/>
          <w:szCs w:val="24"/>
        </w:rPr>
        <w:t>3-</w:t>
      </w:r>
      <w:r w:rsidR="006B3224" w:rsidRPr="00DA3A55">
        <w:rPr>
          <w:sz w:val="24"/>
          <w:szCs w:val="24"/>
        </w:rPr>
        <w:t>дневния срок</w:t>
      </w:r>
      <w:r w:rsidRPr="00DA3A55">
        <w:rPr>
          <w:sz w:val="24"/>
          <w:szCs w:val="24"/>
        </w:rPr>
        <w:t xml:space="preserve">. </w:t>
      </w:r>
      <w:r w:rsidR="00F370F7" w:rsidRPr="00DA3A55">
        <w:rPr>
          <w:sz w:val="24"/>
          <w:szCs w:val="24"/>
        </w:rPr>
        <w:t>Кандидатът представя допълнителните разяснения и/или документи</w:t>
      </w:r>
      <w:r w:rsidR="00563D28" w:rsidRPr="00DA3A55">
        <w:rPr>
          <w:sz w:val="24"/>
          <w:szCs w:val="24"/>
        </w:rPr>
        <w:t xml:space="preserve"> </w:t>
      </w:r>
      <w:r w:rsidR="0024408B" w:rsidRPr="00DA3A55">
        <w:rPr>
          <w:sz w:val="24"/>
          <w:szCs w:val="24"/>
        </w:rPr>
        <w:t>по електронен път чрез ИСУН 2020</w:t>
      </w:r>
      <w:r w:rsidR="008664AB" w:rsidRPr="00DA3A55">
        <w:rPr>
          <w:sz w:val="24"/>
          <w:szCs w:val="24"/>
        </w:rPr>
        <w:t>. Д</w:t>
      </w:r>
      <w:r w:rsidRPr="00DA3A55">
        <w:rPr>
          <w:sz w:val="24"/>
          <w:szCs w:val="24"/>
        </w:rPr>
        <w:t xml:space="preserve">опълнителна информация </w:t>
      </w:r>
      <w:r w:rsidR="00F370F7" w:rsidRPr="00DA3A55">
        <w:rPr>
          <w:sz w:val="24"/>
          <w:szCs w:val="24"/>
        </w:rPr>
        <w:t>може да бъде предоставена</w:t>
      </w:r>
      <w:r w:rsidR="00F370F7" w:rsidRPr="00BD3276">
        <w:rPr>
          <w:sz w:val="24"/>
          <w:szCs w:val="24"/>
        </w:rPr>
        <w:t xml:space="preserve"> само по искане на оценителната комисия, като информацията</w:t>
      </w:r>
      <w:r w:rsidRPr="00BD3276">
        <w:rPr>
          <w:sz w:val="24"/>
          <w:szCs w:val="24"/>
        </w:rPr>
        <w:t xml:space="preserve"> не следва да съдържа елементи, водещи до подобряване на първоначалното проектно предложение. </w:t>
      </w:r>
      <w:r w:rsidR="008664AB" w:rsidRPr="00BD3276">
        <w:rPr>
          <w:sz w:val="24"/>
          <w:szCs w:val="24"/>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r w:rsidR="00A131F4" w:rsidRPr="00BD3276">
        <w:rPr>
          <w:sz w:val="24"/>
          <w:szCs w:val="24"/>
        </w:rPr>
        <w:t xml:space="preserve"> </w:t>
      </w:r>
      <w:r w:rsidRPr="00BD3276">
        <w:rPr>
          <w:sz w:val="24"/>
          <w:szCs w:val="24"/>
        </w:rPr>
        <w:t>Всяка информация, предоставена извън официално изисканата от Оценителната комисия, няма да бъде вземана под внимание</w:t>
      </w:r>
      <w:r w:rsidR="00B47D4C" w:rsidRPr="00BD3276">
        <w:rPr>
          <w:sz w:val="24"/>
          <w:szCs w:val="24"/>
        </w:rPr>
        <w:t>.</w:t>
      </w:r>
      <w:r w:rsidR="00C4554D" w:rsidRPr="00BD3276">
        <w:rPr>
          <w:sz w:val="24"/>
          <w:szCs w:val="24"/>
        </w:rPr>
        <w:t xml:space="preserve"> </w:t>
      </w:r>
      <w:r w:rsidR="00B47D4C" w:rsidRPr="00BD3276">
        <w:rPr>
          <w:sz w:val="24"/>
          <w:szCs w:val="24"/>
        </w:rPr>
        <w:t xml:space="preserve">По изключение кандидатът може да </w:t>
      </w:r>
      <w:r w:rsidR="00C4554D" w:rsidRPr="00BD3276">
        <w:rPr>
          <w:sz w:val="24"/>
          <w:szCs w:val="24"/>
        </w:rPr>
        <w:t xml:space="preserve"> </w:t>
      </w:r>
      <w:r w:rsidR="00B47D4C" w:rsidRPr="00BD3276">
        <w:rPr>
          <w:sz w:val="24"/>
          <w:szCs w:val="24"/>
        </w:rPr>
        <w:t>предостави информация</w:t>
      </w:r>
      <w:r w:rsidR="00C4554D" w:rsidRPr="00BD3276">
        <w:rPr>
          <w:sz w:val="24"/>
          <w:szCs w:val="24"/>
        </w:rPr>
        <w:t xml:space="preserve"> с уведомителен характер (напр. промяна в адреса за кореспонденция, </w:t>
      </w:r>
      <w:proofErr w:type="spellStart"/>
      <w:r w:rsidR="00C4554D" w:rsidRPr="00BD3276">
        <w:rPr>
          <w:sz w:val="24"/>
          <w:szCs w:val="24"/>
        </w:rPr>
        <w:t>правноорганизационната</w:t>
      </w:r>
      <w:proofErr w:type="spellEnd"/>
      <w:r w:rsidR="00C4554D" w:rsidRPr="00BD3276">
        <w:rPr>
          <w:sz w:val="24"/>
          <w:szCs w:val="24"/>
        </w:rPr>
        <w:t xml:space="preserve"> форма, лице</w:t>
      </w:r>
      <w:r w:rsidR="001C6C06" w:rsidRPr="00BD3276">
        <w:rPr>
          <w:sz w:val="24"/>
          <w:szCs w:val="24"/>
        </w:rPr>
        <w:t>то</w:t>
      </w:r>
      <w:r w:rsidR="00C4554D" w:rsidRPr="00BD3276">
        <w:rPr>
          <w:sz w:val="24"/>
          <w:szCs w:val="24"/>
        </w:rPr>
        <w:t>, представляващо дружеството и други подобни обстоятелства), ко</w:t>
      </w:r>
      <w:r w:rsidR="00B47D4C" w:rsidRPr="00BD3276">
        <w:rPr>
          <w:sz w:val="24"/>
          <w:szCs w:val="24"/>
        </w:rPr>
        <w:t>я</w:t>
      </w:r>
      <w:r w:rsidR="00C4554D" w:rsidRPr="00BD3276">
        <w:rPr>
          <w:sz w:val="24"/>
          <w:szCs w:val="24"/>
        </w:rPr>
        <w:t>то не вод</w:t>
      </w:r>
      <w:r w:rsidR="002F3CEF" w:rsidRPr="00BD3276">
        <w:rPr>
          <w:sz w:val="24"/>
          <w:szCs w:val="24"/>
        </w:rPr>
        <w:t>и</w:t>
      </w:r>
      <w:r w:rsidR="00C4554D" w:rsidRPr="00BD3276">
        <w:rPr>
          <w:sz w:val="24"/>
          <w:szCs w:val="24"/>
        </w:rPr>
        <w:t xml:space="preserve"> до подобряване на първоначалното проектно предложение</w:t>
      </w:r>
      <w:r w:rsidR="00B47D4C" w:rsidRPr="00BD3276">
        <w:rPr>
          <w:sz w:val="24"/>
          <w:szCs w:val="24"/>
        </w:rPr>
        <w:t xml:space="preserve"> и се предоставя писмено</w:t>
      </w:r>
      <w:r w:rsidR="006A42DF">
        <w:rPr>
          <w:sz w:val="24"/>
          <w:szCs w:val="24"/>
        </w:rPr>
        <w:t xml:space="preserve"> чрез ИСУН 2020</w:t>
      </w:r>
      <w:r w:rsidR="00B47D4C" w:rsidRPr="00BD3276">
        <w:rPr>
          <w:sz w:val="24"/>
          <w:szCs w:val="24"/>
        </w:rPr>
        <w:t>.</w:t>
      </w:r>
      <w:r w:rsidR="00E33915" w:rsidRPr="00BD3276">
        <w:rPr>
          <w:sz w:val="24"/>
          <w:szCs w:val="24"/>
        </w:rPr>
        <w:t xml:space="preserve"> </w:t>
      </w:r>
    </w:p>
    <w:p w:rsidR="00A131F4" w:rsidRPr="00BD3276" w:rsidRDefault="00A131F4" w:rsidP="000C652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lastRenderedPageBreak/>
        <w:t xml:space="preserve">Техническият процес свързан с </w:t>
      </w:r>
      <w:r w:rsidR="00E33915" w:rsidRPr="00BD3276">
        <w:rPr>
          <w:sz w:val="24"/>
          <w:szCs w:val="24"/>
        </w:rPr>
        <w:t>представянето на допълнителна информация/документи</w:t>
      </w:r>
      <w:r w:rsidRPr="00BD3276">
        <w:rPr>
          <w:sz w:val="24"/>
          <w:szCs w:val="24"/>
        </w:rPr>
        <w:t xml:space="preserve"> е описан в </w:t>
      </w:r>
      <w:r w:rsidR="00833F83" w:rsidRPr="00BD3276">
        <w:rPr>
          <w:sz w:val="24"/>
          <w:szCs w:val="24"/>
        </w:rPr>
        <w:t>Р</w:t>
      </w:r>
      <w:r w:rsidRPr="00BD3276">
        <w:rPr>
          <w:sz w:val="24"/>
          <w:szCs w:val="24"/>
        </w:rPr>
        <w:t xml:space="preserve">ъководството </w:t>
      </w:r>
      <w:r w:rsidR="00833F83" w:rsidRPr="00BD3276">
        <w:rPr>
          <w:sz w:val="24"/>
          <w:szCs w:val="24"/>
        </w:rPr>
        <w:t>з</w:t>
      </w:r>
      <w:r w:rsidRPr="00BD3276">
        <w:rPr>
          <w:sz w:val="24"/>
          <w:szCs w:val="24"/>
        </w:rPr>
        <w:t xml:space="preserve">а </w:t>
      </w:r>
      <w:r w:rsidR="00833F83" w:rsidRPr="00BD3276">
        <w:rPr>
          <w:sz w:val="24"/>
          <w:szCs w:val="24"/>
        </w:rPr>
        <w:t>потребителя</w:t>
      </w:r>
      <w:r w:rsidR="00833F83" w:rsidRPr="00BD3276">
        <w:t xml:space="preserve"> </w:t>
      </w:r>
      <w:r w:rsidR="00833F83" w:rsidRPr="00BD3276">
        <w:rPr>
          <w:sz w:val="24"/>
          <w:szCs w:val="24"/>
        </w:rPr>
        <w:t xml:space="preserve">за модул “Е-кандидатстване” в </w:t>
      </w:r>
      <w:r w:rsidRPr="00BD3276">
        <w:rPr>
          <w:sz w:val="24"/>
          <w:szCs w:val="24"/>
        </w:rPr>
        <w:t>ИСУН</w:t>
      </w:r>
      <w:r w:rsidR="002F3CEF" w:rsidRPr="00BD3276">
        <w:rPr>
          <w:sz w:val="24"/>
          <w:szCs w:val="24"/>
        </w:rPr>
        <w:t xml:space="preserve"> 2020</w:t>
      </w:r>
      <w:r w:rsidR="00421985" w:rsidRPr="00BD3276">
        <w:rPr>
          <w:rStyle w:val="FootnoteReference"/>
          <w:sz w:val="24"/>
          <w:szCs w:val="24"/>
        </w:rPr>
        <w:footnoteReference w:id="22"/>
      </w:r>
      <w:r w:rsidRPr="00BD3276">
        <w:rPr>
          <w:sz w:val="24"/>
          <w:szCs w:val="24"/>
        </w:rPr>
        <w:t xml:space="preserve">. </w:t>
      </w:r>
    </w:p>
    <w:p w:rsidR="002325A3" w:rsidRPr="00BD3276" w:rsidRDefault="002325A3" w:rsidP="002325A3">
      <w:pPr>
        <w:pStyle w:val="ListParagraph"/>
        <w:spacing w:after="360" w:line="240" w:lineRule="auto"/>
        <w:ind w:left="0"/>
        <w:jc w:val="both"/>
        <w:rPr>
          <w:b/>
          <w:sz w:val="24"/>
          <w:szCs w:val="24"/>
        </w:rPr>
      </w:pPr>
      <w:r w:rsidRPr="00BD3276">
        <w:rPr>
          <w:b/>
          <w:sz w:val="24"/>
          <w:szCs w:val="24"/>
        </w:rPr>
        <w:t xml:space="preserve">    </w:t>
      </w:r>
    </w:p>
    <w:p w:rsidR="002C08E5" w:rsidRPr="00BD3276" w:rsidRDefault="001D79C3" w:rsidP="003659D3">
      <w:pPr>
        <w:pStyle w:val="Heading2"/>
        <w:jc w:val="both"/>
      </w:pPr>
      <w:bookmarkStart w:id="30" w:name="_Toc418791461"/>
      <w:r w:rsidRPr="00BD3276">
        <w:t>20</w:t>
      </w:r>
      <w:r w:rsidR="002325A3" w:rsidRPr="00BD3276">
        <w:t xml:space="preserve">. </w:t>
      </w:r>
      <w:r w:rsidR="002C08E5" w:rsidRPr="00BD3276">
        <w:t>Критерии за оценка на концепциите за проектни предложения и относителната им тежест:</w:t>
      </w:r>
      <w:bookmarkEnd w:id="30"/>
    </w:p>
    <w:p w:rsidR="002C08E5" w:rsidRPr="00BD3276" w:rsidRDefault="004973FC" w:rsidP="001D79C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Неприложимо</w:t>
      </w:r>
    </w:p>
    <w:p w:rsidR="002C08E5" w:rsidRPr="00BD3276" w:rsidRDefault="002C08E5" w:rsidP="002C08E5">
      <w:pPr>
        <w:pStyle w:val="ListParagraph"/>
        <w:spacing w:after="360" w:line="240" w:lineRule="auto"/>
        <w:ind w:left="0"/>
        <w:jc w:val="both"/>
        <w:rPr>
          <w:b/>
          <w:sz w:val="24"/>
          <w:szCs w:val="24"/>
        </w:rPr>
      </w:pPr>
      <w:r w:rsidRPr="00BD3276">
        <w:rPr>
          <w:b/>
          <w:sz w:val="24"/>
          <w:szCs w:val="24"/>
        </w:rPr>
        <w:t xml:space="preserve">  </w:t>
      </w:r>
    </w:p>
    <w:p w:rsidR="002325A3" w:rsidRPr="00BD3276" w:rsidRDefault="00CB14EE" w:rsidP="003659D3">
      <w:pPr>
        <w:pStyle w:val="Heading2"/>
        <w:spacing w:before="120" w:after="120"/>
      </w:pPr>
      <w:bookmarkStart w:id="31" w:name="_Toc418791462"/>
      <w:r w:rsidRPr="00BD3276">
        <w:t>2</w:t>
      </w:r>
      <w:r w:rsidR="001D79C3" w:rsidRPr="00BD3276">
        <w:t>1</w:t>
      </w:r>
      <w:r w:rsidR="002C08E5" w:rsidRPr="00BD3276">
        <w:t xml:space="preserve">. </w:t>
      </w:r>
      <w:r w:rsidR="002325A3" w:rsidRPr="00BD3276">
        <w:t>Критерии за оценка на проектните предложения и относителната им тежест:</w:t>
      </w:r>
      <w:bookmarkEnd w:id="31"/>
    </w:p>
    <w:p w:rsidR="00F61959" w:rsidRPr="00C83BE0" w:rsidRDefault="00F61959" w:rsidP="00310A6E">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1"/>
        <w:gridCol w:w="1475"/>
      </w:tblGrid>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6A6A6"/>
          </w:tcPr>
          <w:p w:rsidR="007D1229" w:rsidRPr="00C83BE0" w:rsidRDefault="007D1229" w:rsidP="0094661D">
            <w:pPr>
              <w:spacing w:before="60" w:after="60" w:line="360" w:lineRule="auto"/>
              <w:jc w:val="both"/>
              <w:rPr>
                <w:rFonts w:eastAsia="Times New Roman" w:cs="Calibri"/>
                <w:b/>
                <w:bCs/>
                <w:sz w:val="24"/>
                <w:szCs w:val="24"/>
                <w:lang w:eastAsia="pl-PL"/>
              </w:rPr>
            </w:pPr>
            <w:r w:rsidRPr="00C83BE0">
              <w:rPr>
                <w:rFonts w:eastAsia="Times New Roman" w:cs="Calibri"/>
                <w:b/>
                <w:bCs/>
                <w:sz w:val="24"/>
                <w:szCs w:val="24"/>
                <w:lang w:eastAsia="pl-PL"/>
              </w:rPr>
              <w:t>Критерии</w:t>
            </w:r>
            <w:r w:rsidR="009B1067" w:rsidRPr="00C83BE0">
              <w:rPr>
                <w:rFonts w:eastAsia="Times New Roman" w:cs="Calibri"/>
                <w:b/>
                <w:bCs/>
                <w:sz w:val="24"/>
                <w:szCs w:val="24"/>
                <w:lang w:eastAsia="pl-PL"/>
              </w:rPr>
              <w:t xml:space="preserve"> </w:t>
            </w:r>
          </w:p>
        </w:tc>
        <w:tc>
          <w:tcPr>
            <w:tcW w:w="768" w:type="pct"/>
            <w:tcBorders>
              <w:top w:val="single" w:sz="4" w:space="0" w:color="auto"/>
              <w:left w:val="single" w:sz="4" w:space="0" w:color="auto"/>
              <w:bottom w:val="single" w:sz="4" w:space="0" w:color="auto"/>
              <w:right w:val="single" w:sz="4" w:space="0" w:color="auto"/>
            </w:tcBorders>
            <w:shd w:val="clear" w:color="auto" w:fill="A6A6A6"/>
            <w:vAlign w:val="center"/>
          </w:tcPr>
          <w:p w:rsidR="007D1229" w:rsidRPr="00C83BE0" w:rsidRDefault="007D1229" w:rsidP="0094661D">
            <w:pPr>
              <w:spacing w:before="60" w:after="60" w:line="240" w:lineRule="auto"/>
              <w:jc w:val="center"/>
              <w:rPr>
                <w:rFonts w:eastAsia="Times New Roman" w:cs="Calibri"/>
                <w:b/>
                <w:sz w:val="24"/>
                <w:szCs w:val="24"/>
                <w:lang w:eastAsia="pl-PL"/>
              </w:rPr>
            </w:pPr>
            <w:r w:rsidRPr="00C83BE0">
              <w:rPr>
                <w:rFonts w:eastAsia="Times New Roman" w:cs="Calibri"/>
                <w:b/>
                <w:sz w:val="24"/>
                <w:szCs w:val="24"/>
                <w:lang w:eastAsia="pl-PL"/>
              </w:rPr>
              <w:t>Макс. брой точки</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spacing w:before="60" w:after="60" w:line="240" w:lineRule="auto"/>
              <w:jc w:val="both"/>
              <w:rPr>
                <w:rFonts w:eastAsia="Times New Roman" w:cs="Calibri"/>
                <w:b/>
                <w:bCs/>
                <w:sz w:val="24"/>
                <w:szCs w:val="24"/>
                <w:lang w:eastAsia="pl-PL"/>
              </w:rPr>
            </w:pPr>
            <w:r w:rsidRPr="00C83BE0">
              <w:rPr>
                <w:rFonts w:eastAsia="Times New Roman" w:cs="Calibri"/>
                <w:b/>
                <w:bCs/>
                <w:sz w:val="24"/>
                <w:szCs w:val="24"/>
                <w:lang w:eastAsia="pl-PL"/>
              </w:rPr>
              <w:t>I. Иновативност и пазарна приложимост на подкрепяната иновация</w:t>
            </w:r>
          </w:p>
        </w:tc>
        <w:tc>
          <w:tcPr>
            <w:tcW w:w="768" w:type="pct"/>
            <w:tcBorders>
              <w:top w:val="single" w:sz="4" w:space="0" w:color="auto"/>
              <w:left w:val="single" w:sz="4" w:space="0" w:color="auto"/>
              <w:bottom w:val="single" w:sz="4" w:space="0" w:color="auto"/>
              <w:right w:val="single" w:sz="4" w:space="0" w:color="auto"/>
            </w:tcBorders>
            <w:shd w:val="clear" w:color="auto" w:fill="D9D9D9"/>
            <w:vAlign w:val="center"/>
          </w:tcPr>
          <w:p w:rsidR="007D1229" w:rsidRPr="00686463" w:rsidRDefault="007D1229" w:rsidP="0094661D">
            <w:pPr>
              <w:spacing w:before="60" w:after="60" w:line="360" w:lineRule="auto"/>
              <w:jc w:val="center"/>
              <w:rPr>
                <w:rFonts w:eastAsia="Times New Roman" w:cs="Calibri"/>
                <w:b/>
                <w:bCs/>
                <w:sz w:val="24"/>
                <w:szCs w:val="24"/>
                <w:lang w:eastAsia="pl-PL"/>
              </w:rPr>
            </w:pPr>
            <w:r w:rsidRPr="00C83BE0">
              <w:rPr>
                <w:rFonts w:eastAsia="Times New Roman" w:cs="Calibri"/>
                <w:b/>
                <w:bCs/>
                <w:sz w:val="24"/>
                <w:szCs w:val="24"/>
                <w:lang w:val="en-US" w:eastAsia="pl-PL"/>
              </w:rPr>
              <w:t>3</w:t>
            </w:r>
            <w:r w:rsidR="00686463">
              <w:rPr>
                <w:rFonts w:eastAsia="Times New Roman" w:cs="Calibri"/>
                <w:b/>
                <w:bCs/>
                <w:sz w:val="24"/>
                <w:szCs w:val="24"/>
                <w:lang w:eastAsia="pl-PL"/>
              </w:rPr>
              <w:t>5</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FFFFFF"/>
          </w:tcPr>
          <w:p w:rsidR="007D1229" w:rsidRPr="00C83BE0" w:rsidRDefault="007D1229" w:rsidP="0094661D">
            <w:pPr>
              <w:spacing w:before="60" w:after="60" w:line="240" w:lineRule="auto"/>
              <w:jc w:val="both"/>
              <w:rPr>
                <w:rFonts w:eastAsia="Times New Roman" w:cs="Calibri"/>
                <w:bCs/>
                <w:sz w:val="24"/>
                <w:szCs w:val="24"/>
                <w:lang w:eastAsia="pl-PL"/>
              </w:rPr>
            </w:pPr>
            <w:r w:rsidRPr="00C83BE0">
              <w:rPr>
                <w:rFonts w:eastAsia="Times New Roman" w:cs="Calibri"/>
                <w:sz w:val="24"/>
                <w:szCs w:val="24"/>
                <w:lang w:eastAsia="pl-PL"/>
              </w:rPr>
              <w:t>1. Степен на защита на подкрепяната по проекта иновация</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7D1229" w:rsidRPr="00C83BE0" w:rsidDel="009121CD" w:rsidRDefault="007D1229" w:rsidP="0094661D">
            <w:pPr>
              <w:spacing w:before="60" w:after="60" w:line="360" w:lineRule="auto"/>
              <w:jc w:val="center"/>
              <w:rPr>
                <w:rFonts w:eastAsia="Times New Roman" w:cs="Calibri"/>
                <w:bCs/>
                <w:sz w:val="24"/>
                <w:szCs w:val="24"/>
                <w:lang w:val="en-US" w:eastAsia="pl-PL"/>
              </w:rPr>
            </w:pPr>
            <w:r w:rsidRPr="00C83BE0">
              <w:rPr>
                <w:rFonts w:eastAsia="Times New Roman" w:cs="Calibri"/>
                <w:bCs/>
                <w:sz w:val="24"/>
                <w:szCs w:val="24"/>
                <w:lang w:val="en-US" w:eastAsia="pl-PL"/>
              </w:rPr>
              <w:t>8</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rFonts w:eastAsia="Times New Roman" w:cs="Calibri"/>
                <w:bCs/>
                <w:color w:val="000000"/>
                <w:sz w:val="24"/>
                <w:szCs w:val="24"/>
                <w:lang w:eastAsia="pl-PL"/>
              </w:rPr>
            </w:pPr>
            <w:r w:rsidRPr="00C83BE0">
              <w:rPr>
                <w:rFonts w:eastAsia="Times New Roman" w:cs="Calibri"/>
                <w:bCs/>
                <w:color w:val="000000"/>
                <w:sz w:val="24"/>
                <w:szCs w:val="24"/>
                <w:lang w:eastAsia="pl-PL"/>
              </w:rPr>
              <w:t>2. Новост на подкрепяната иновация</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7D1229" w:rsidRPr="00C83BE0" w:rsidRDefault="007D1229" w:rsidP="0094661D">
            <w:pPr>
              <w:spacing w:before="60" w:after="60" w:line="360" w:lineRule="auto"/>
              <w:jc w:val="center"/>
              <w:rPr>
                <w:rFonts w:eastAsia="Times New Roman" w:cs="Calibri"/>
                <w:bCs/>
                <w:color w:val="000000"/>
                <w:sz w:val="24"/>
                <w:szCs w:val="24"/>
                <w:lang w:eastAsia="pl-PL"/>
              </w:rPr>
            </w:pPr>
            <w:r w:rsidRPr="00C83BE0">
              <w:rPr>
                <w:rFonts w:eastAsia="Times New Roman" w:cs="Calibri"/>
                <w:bCs/>
                <w:color w:val="000000"/>
                <w:sz w:val="24"/>
                <w:szCs w:val="24"/>
                <w:lang w:val="en-US" w:eastAsia="pl-PL"/>
              </w:rPr>
              <w:t>1</w:t>
            </w:r>
            <w:r w:rsidR="008B13BE" w:rsidRPr="00C83BE0">
              <w:rPr>
                <w:rFonts w:eastAsia="Times New Roman" w:cs="Calibri"/>
                <w:bCs/>
                <w:color w:val="000000"/>
                <w:sz w:val="24"/>
                <w:szCs w:val="24"/>
                <w:lang w:eastAsia="pl-PL"/>
              </w:rPr>
              <w:t>5</w:t>
            </w:r>
          </w:p>
        </w:tc>
      </w:tr>
      <w:tr w:rsidR="007D1229" w:rsidRPr="00C83BE0" w:rsidTr="0094661D">
        <w:trPr>
          <w:trHeight w:val="439"/>
        </w:trPr>
        <w:tc>
          <w:tcPr>
            <w:tcW w:w="4232" w:type="pct"/>
            <w:tcBorders>
              <w:top w:val="single" w:sz="4" w:space="0" w:color="auto"/>
              <w:left w:val="single" w:sz="4" w:space="0" w:color="auto"/>
              <w:bottom w:val="single" w:sz="4" w:space="0" w:color="auto"/>
              <w:right w:val="single" w:sz="4" w:space="0" w:color="auto"/>
            </w:tcBorders>
          </w:tcPr>
          <w:p w:rsidR="007D1229" w:rsidRPr="00C83BE0" w:rsidRDefault="007D1229" w:rsidP="0094661D">
            <w:pPr>
              <w:spacing w:before="60" w:after="60" w:line="240" w:lineRule="auto"/>
              <w:jc w:val="both"/>
              <w:rPr>
                <w:rFonts w:eastAsia="Times New Roman" w:cs="Calibri"/>
                <w:sz w:val="24"/>
                <w:szCs w:val="24"/>
                <w:lang w:eastAsia="pl-PL"/>
              </w:rPr>
            </w:pPr>
            <w:r w:rsidRPr="00C83BE0">
              <w:rPr>
                <w:rFonts w:eastAsia="Times New Roman" w:cs="Calibri"/>
                <w:sz w:val="24"/>
                <w:szCs w:val="24"/>
                <w:lang w:eastAsia="pl-PL"/>
              </w:rPr>
              <w:t>3. Пазарна приложимост и жизнеспособност</w:t>
            </w:r>
            <w:r w:rsidRPr="00C83BE0">
              <w:rPr>
                <w:rFonts w:eastAsia="Times New Roman" w:cs="Calibri"/>
                <w:sz w:val="24"/>
                <w:szCs w:val="24"/>
                <w:lang w:val="en-US" w:eastAsia="pl-PL"/>
              </w:rPr>
              <w:t xml:space="preserve"> </w:t>
            </w:r>
            <w:r w:rsidRPr="00C83BE0">
              <w:rPr>
                <w:rFonts w:eastAsia="Times New Roman" w:cs="Calibri"/>
                <w:sz w:val="24"/>
                <w:szCs w:val="24"/>
                <w:lang w:eastAsia="pl-PL"/>
              </w:rPr>
              <w:t>на иновацията</w:t>
            </w:r>
          </w:p>
        </w:tc>
        <w:tc>
          <w:tcPr>
            <w:tcW w:w="768" w:type="pct"/>
            <w:tcBorders>
              <w:top w:val="single" w:sz="4" w:space="0" w:color="auto"/>
              <w:left w:val="single" w:sz="4" w:space="0" w:color="auto"/>
              <w:bottom w:val="single" w:sz="4" w:space="0" w:color="auto"/>
              <w:right w:val="single" w:sz="4" w:space="0" w:color="auto"/>
            </w:tcBorders>
          </w:tcPr>
          <w:p w:rsidR="007D1229" w:rsidRPr="00686463" w:rsidRDefault="00686463" w:rsidP="0094661D">
            <w:pPr>
              <w:spacing w:before="60" w:after="60" w:line="360" w:lineRule="auto"/>
              <w:jc w:val="center"/>
              <w:rPr>
                <w:rFonts w:eastAsia="Times New Roman" w:cs="Calibri"/>
                <w:bCs/>
                <w:sz w:val="24"/>
                <w:szCs w:val="24"/>
                <w:lang w:eastAsia="pl-PL"/>
              </w:rPr>
            </w:pPr>
            <w:r>
              <w:rPr>
                <w:rFonts w:eastAsia="Times New Roman" w:cs="Calibri"/>
                <w:bCs/>
                <w:sz w:val="24"/>
                <w:szCs w:val="24"/>
                <w:lang w:eastAsia="pl-PL"/>
              </w:rPr>
              <w:t>8</w:t>
            </w:r>
          </w:p>
        </w:tc>
      </w:tr>
      <w:tr w:rsidR="007D1229" w:rsidRPr="00C83BE0" w:rsidTr="0094661D">
        <w:trPr>
          <w:trHeight w:val="439"/>
        </w:trPr>
        <w:tc>
          <w:tcPr>
            <w:tcW w:w="4232" w:type="pct"/>
            <w:tcBorders>
              <w:top w:val="single" w:sz="4" w:space="0" w:color="auto"/>
              <w:left w:val="single" w:sz="4" w:space="0" w:color="auto"/>
              <w:bottom w:val="single" w:sz="4" w:space="0" w:color="auto"/>
              <w:right w:val="single" w:sz="4" w:space="0" w:color="auto"/>
            </w:tcBorders>
          </w:tcPr>
          <w:p w:rsidR="007D1229" w:rsidRPr="00C83BE0" w:rsidRDefault="007D1229" w:rsidP="0094661D">
            <w:pPr>
              <w:spacing w:before="60" w:after="60" w:line="240" w:lineRule="auto"/>
              <w:jc w:val="both"/>
              <w:rPr>
                <w:rFonts w:eastAsia="Times New Roman" w:cs="Calibri"/>
                <w:sz w:val="24"/>
                <w:szCs w:val="24"/>
                <w:lang w:eastAsia="pl-PL"/>
              </w:rPr>
            </w:pPr>
            <w:r w:rsidRPr="00C83BE0">
              <w:rPr>
                <w:rFonts w:eastAsia="Times New Roman" w:cs="Calibri"/>
                <w:sz w:val="24"/>
                <w:szCs w:val="24"/>
                <w:lang w:eastAsia="pl-PL"/>
              </w:rPr>
              <w:t>4. Подкрепяната по проекта иновация е резултат от съвместна</w:t>
            </w:r>
            <w:r w:rsidR="007E1B9E">
              <w:rPr>
                <w:rFonts w:eastAsia="Times New Roman" w:cs="Calibri"/>
                <w:sz w:val="24"/>
                <w:szCs w:val="24"/>
                <w:lang w:eastAsia="pl-PL"/>
              </w:rPr>
              <w:t xml:space="preserve"> </w:t>
            </w:r>
            <w:r w:rsidR="007E1B9E" w:rsidRPr="007E1B9E">
              <w:rPr>
                <w:rFonts w:eastAsia="Times New Roman" w:cs="Calibri"/>
                <w:sz w:val="24"/>
                <w:szCs w:val="24"/>
                <w:lang w:eastAsia="pl-PL"/>
              </w:rPr>
              <w:t>дейност между кандидата и научна организация или</w:t>
            </w:r>
            <w:r w:rsidRPr="00C83BE0">
              <w:rPr>
                <w:rFonts w:eastAsia="Times New Roman" w:cs="Calibri"/>
                <w:sz w:val="24"/>
                <w:szCs w:val="24"/>
                <w:lang w:eastAsia="pl-PL"/>
              </w:rPr>
              <w:t xml:space="preserve"> собствена за кандидата дейност</w:t>
            </w:r>
          </w:p>
        </w:tc>
        <w:tc>
          <w:tcPr>
            <w:tcW w:w="768" w:type="pct"/>
            <w:tcBorders>
              <w:top w:val="single" w:sz="4" w:space="0" w:color="auto"/>
              <w:left w:val="single" w:sz="4" w:space="0" w:color="auto"/>
              <w:bottom w:val="single" w:sz="4" w:space="0" w:color="auto"/>
              <w:right w:val="single" w:sz="4" w:space="0" w:color="auto"/>
            </w:tcBorders>
          </w:tcPr>
          <w:p w:rsidR="007D1229" w:rsidRPr="00C83BE0" w:rsidRDefault="008B13BE" w:rsidP="0094661D">
            <w:pPr>
              <w:spacing w:before="60" w:after="60" w:line="240" w:lineRule="auto"/>
              <w:jc w:val="center"/>
              <w:rPr>
                <w:rFonts w:eastAsia="Times New Roman" w:cs="Calibri"/>
                <w:sz w:val="24"/>
                <w:szCs w:val="24"/>
                <w:lang w:eastAsia="pl-PL"/>
              </w:rPr>
            </w:pPr>
            <w:r w:rsidRPr="00C83BE0">
              <w:rPr>
                <w:rFonts w:eastAsia="Times New Roman" w:cs="Calibri"/>
                <w:sz w:val="24"/>
                <w:szCs w:val="24"/>
                <w:lang w:eastAsia="pl-PL"/>
              </w:rPr>
              <w:t>4</w:t>
            </w:r>
          </w:p>
        </w:tc>
      </w:tr>
      <w:tr w:rsidR="007D1229" w:rsidRPr="00C83BE0" w:rsidTr="0094661D">
        <w:trPr>
          <w:trHeight w:val="397"/>
        </w:trPr>
        <w:tc>
          <w:tcPr>
            <w:tcW w:w="4232"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spacing w:before="60" w:after="60" w:line="240" w:lineRule="auto"/>
              <w:jc w:val="both"/>
              <w:rPr>
                <w:rFonts w:eastAsia="Times New Roman" w:cs="Calibri"/>
                <w:b/>
                <w:bCs/>
                <w:sz w:val="24"/>
                <w:szCs w:val="24"/>
                <w:lang w:eastAsia="pl-PL"/>
              </w:rPr>
            </w:pPr>
            <w:r w:rsidRPr="00C83BE0">
              <w:rPr>
                <w:rFonts w:eastAsia="Times New Roman" w:cs="Calibri"/>
                <w:b/>
                <w:bCs/>
                <w:sz w:val="24"/>
                <w:szCs w:val="24"/>
                <w:lang w:eastAsia="pl-PL"/>
              </w:rPr>
              <w:t xml:space="preserve">II. Иновативен капацитет  и финансова стабилност на кандидата </w:t>
            </w:r>
          </w:p>
        </w:tc>
        <w:tc>
          <w:tcPr>
            <w:tcW w:w="768" w:type="pct"/>
            <w:tcBorders>
              <w:top w:val="single" w:sz="4" w:space="0" w:color="auto"/>
              <w:left w:val="single" w:sz="4" w:space="0" w:color="auto"/>
              <w:bottom w:val="single" w:sz="4" w:space="0" w:color="auto"/>
              <w:right w:val="single" w:sz="4" w:space="0" w:color="auto"/>
            </w:tcBorders>
            <w:shd w:val="clear" w:color="auto" w:fill="D9D9D9"/>
            <w:vAlign w:val="center"/>
          </w:tcPr>
          <w:p w:rsidR="007D1229" w:rsidRPr="00686463" w:rsidRDefault="007D1229" w:rsidP="0094661D">
            <w:pPr>
              <w:spacing w:before="60" w:after="60" w:line="360" w:lineRule="auto"/>
              <w:jc w:val="center"/>
              <w:rPr>
                <w:rFonts w:eastAsia="Times New Roman" w:cs="Calibri"/>
                <w:b/>
                <w:bCs/>
                <w:sz w:val="24"/>
                <w:szCs w:val="24"/>
                <w:lang w:eastAsia="pl-PL"/>
              </w:rPr>
            </w:pPr>
            <w:r w:rsidRPr="00C83BE0">
              <w:rPr>
                <w:rFonts w:eastAsia="Times New Roman" w:cs="Calibri"/>
                <w:b/>
                <w:bCs/>
                <w:sz w:val="24"/>
                <w:szCs w:val="24"/>
                <w:lang w:val="en-US" w:eastAsia="pl-PL"/>
              </w:rPr>
              <w:t>3</w:t>
            </w:r>
            <w:r w:rsidR="00686463">
              <w:rPr>
                <w:rFonts w:eastAsia="Times New Roman" w:cs="Calibri"/>
                <w:b/>
                <w:bCs/>
                <w:sz w:val="24"/>
                <w:szCs w:val="24"/>
                <w:lang w:eastAsia="pl-PL"/>
              </w:rPr>
              <w:t>1</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rFonts w:eastAsia="Times New Roman" w:cs="Calibri"/>
                <w:sz w:val="24"/>
                <w:szCs w:val="24"/>
                <w:lang w:eastAsia="pl-PL"/>
              </w:rPr>
            </w:pPr>
            <w:r w:rsidRPr="00C83BE0">
              <w:rPr>
                <w:rFonts w:eastAsia="Times New Roman" w:cs="Calibri"/>
                <w:sz w:val="24"/>
                <w:szCs w:val="24"/>
                <w:lang w:eastAsia="pl-PL"/>
              </w:rPr>
              <w:t>1. Опит на кандидата в изпълнението на дейности, сходни с дейностите, за които се кандидатства (съгласно Справката за иновационна дейност на предприятието през периода 2012-2014, подавана към НСИ)</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rFonts w:eastAsia="Times New Roman" w:cs="Calibri"/>
                <w:sz w:val="24"/>
                <w:szCs w:val="24"/>
                <w:lang w:val="en-US" w:eastAsia="pl-PL"/>
              </w:rPr>
            </w:pPr>
            <w:r w:rsidRPr="00C83BE0">
              <w:rPr>
                <w:rFonts w:eastAsia="Times New Roman" w:cs="Calibri"/>
                <w:sz w:val="24"/>
                <w:szCs w:val="24"/>
                <w:lang w:val="en-US" w:eastAsia="pl-PL"/>
              </w:rPr>
              <w:t>3</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jc w:val="both"/>
              <w:rPr>
                <w:sz w:val="24"/>
                <w:szCs w:val="24"/>
              </w:rPr>
            </w:pPr>
            <w:r w:rsidRPr="00C83BE0">
              <w:rPr>
                <w:sz w:val="24"/>
                <w:szCs w:val="24"/>
              </w:rPr>
              <w:t xml:space="preserve">2. Предприятия, занимаващи се с </w:t>
            </w:r>
            <w:r w:rsidRPr="00C83BE0">
              <w:rPr>
                <w:rFonts w:eastAsia="Times New Roman" w:cs="Calibri"/>
                <w:sz w:val="24"/>
                <w:szCs w:val="24"/>
                <w:lang w:eastAsia="pl-PL"/>
              </w:rPr>
              <w:t>научно-изследователска и развойна дейност (</w:t>
            </w:r>
            <w:r w:rsidRPr="00C83BE0">
              <w:rPr>
                <w:sz w:val="24"/>
                <w:szCs w:val="24"/>
              </w:rPr>
              <w:t>НИРД) – средно за 2012, 2013 и 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rFonts w:eastAsia="Times New Roman" w:cs="Calibri"/>
                <w:sz w:val="24"/>
                <w:szCs w:val="24"/>
                <w:lang w:val="en-US" w:eastAsia="pl-PL"/>
              </w:rPr>
            </w:pPr>
            <w:r w:rsidRPr="00C83BE0">
              <w:rPr>
                <w:rFonts w:eastAsia="Times New Roman" w:cs="Calibri"/>
                <w:sz w:val="24"/>
                <w:szCs w:val="24"/>
                <w:lang w:val="en-US" w:eastAsia="pl-PL"/>
              </w:rPr>
              <w:t>5</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8B13BE">
            <w:pPr>
              <w:spacing w:before="60" w:after="60" w:line="240" w:lineRule="auto"/>
              <w:jc w:val="both"/>
              <w:rPr>
                <w:rFonts w:eastAsia="Times New Roman" w:cs="Calibri"/>
                <w:sz w:val="24"/>
                <w:szCs w:val="24"/>
                <w:lang w:eastAsia="pl-PL"/>
              </w:rPr>
            </w:pPr>
            <w:r w:rsidRPr="00C83BE0">
              <w:rPr>
                <w:rFonts w:eastAsia="Times New Roman" w:cs="Calibri"/>
                <w:sz w:val="24"/>
                <w:szCs w:val="24"/>
                <w:lang w:eastAsia="pl-PL"/>
              </w:rPr>
              <w:t>3. Придобити права по интелектуална собственост</w:t>
            </w:r>
            <w:r w:rsidR="00284052">
              <w:rPr>
                <w:rStyle w:val="FootnoteReference"/>
                <w:rFonts w:eastAsia="Times New Roman" w:cs="Calibri"/>
                <w:sz w:val="24"/>
                <w:szCs w:val="24"/>
                <w:lang w:eastAsia="pl-PL"/>
              </w:rPr>
              <w:footnoteReference w:id="23"/>
            </w:r>
            <w:r w:rsidRPr="00C83BE0">
              <w:rPr>
                <w:rFonts w:eastAsia="Times New Roman" w:cs="Calibri"/>
                <w:sz w:val="24"/>
                <w:szCs w:val="24"/>
                <w:lang w:eastAsia="pl-PL"/>
              </w:rPr>
              <w:t xml:space="preserve"> от кандидата управителя и/или </w:t>
            </w:r>
            <w:proofErr w:type="spellStart"/>
            <w:r w:rsidRPr="00C83BE0">
              <w:rPr>
                <w:rFonts w:eastAsia="Times New Roman" w:cs="Calibri"/>
                <w:sz w:val="24"/>
                <w:szCs w:val="24"/>
                <w:lang w:eastAsia="pl-PL"/>
              </w:rPr>
              <w:t>съдружниците</w:t>
            </w:r>
            <w:proofErr w:type="spellEnd"/>
            <w:r w:rsidRPr="00C83BE0">
              <w:rPr>
                <w:rStyle w:val="FootnoteReference"/>
                <w:rFonts w:eastAsia="Times New Roman" w:cs="Calibri"/>
                <w:sz w:val="24"/>
                <w:szCs w:val="24"/>
                <w:lang w:eastAsia="pl-PL"/>
              </w:rPr>
              <w:footnoteReference w:id="24"/>
            </w:r>
            <w:r w:rsidRPr="00C83BE0">
              <w:rPr>
                <w:rFonts w:eastAsia="Times New Roman" w:cs="Calibri"/>
                <w:sz w:val="24"/>
                <w:szCs w:val="24"/>
                <w:lang w:eastAsia="pl-PL"/>
              </w:rPr>
              <w:t xml:space="preserve"> му</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686463" w:rsidRDefault="00686463" w:rsidP="0094661D">
            <w:pPr>
              <w:spacing w:before="60" w:after="60" w:line="240" w:lineRule="auto"/>
              <w:jc w:val="center"/>
              <w:rPr>
                <w:rFonts w:eastAsia="Times New Roman" w:cs="Calibri"/>
                <w:sz w:val="24"/>
                <w:szCs w:val="24"/>
                <w:lang w:eastAsia="pl-PL"/>
              </w:rPr>
            </w:pPr>
            <w:r>
              <w:rPr>
                <w:rFonts w:eastAsia="Times New Roman" w:cs="Calibri"/>
                <w:sz w:val="24"/>
                <w:szCs w:val="24"/>
                <w:lang w:eastAsia="pl-PL"/>
              </w:rPr>
              <w:t>3</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sz w:val="24"/>
                <w:szCs w:val="24"/>
              </w:rPr>
            </w:pPr>
            <w:r w:rsidRPr="00C83BE0">
              <w:rPr>
                <w:sz w:val="24"/>
                <w:szCs w:val="24"/>
              </w:rPr>
              <w:t>4. Внедрени стандарти</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rFonts w:eastAsia="Times New Roman" w:cs="Calibri"/>
                <w:sz w:val="24"/>
                <w:szCs w:val="24"/>
                <w:lang w:val="en-US" w:eastAsia="pl-PL"/>
              </w:rPr>
            </w:pPr>
            <w:r w:rsidRPr="00C83BE0">
              <w:rPr>
                <w:rFonts w:eastAsia="Times New Roman" w:cs="Calibri"/>
                <w:sz w:val="24"/>
                <w:szCs w:val="24"/>
                <w:lang w:val="en-US" w:eastAsia="pl-PL"/>
              </w:rPr>
              <w:t>2</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120"/>
              <w:jc w:val="both"/>
              <w:rPr>
                <w:sz w:val="24"/>
                <w:szCs w:val="24"/>
              </w:rPr>
            </w:pPr>
            <w:r w:rsidRPr="00C83BE0">
              <w:rPr>
                <w:sz w:val="24"/>
                <w:szCs w:val="24"/>
              </w:rPr>
              <w:t xml:space="preserve">5. </w:t>
            </w:r>
            <w:r w:rsidR="00E43D0D">
              <w:rPr>
                <w:sz w:val="24"/>
                <w:szCs w:val="24"/>
              </w:rPr>
              <w:t>Средно претеглен к</w:t>
            </w:r>
            <w:r w:rsidRPr="00C83BE0">
              <w:rPr>
                <w:sz w:val="24"/>
                <w:szCs w:val="24"/>
              </w:rPr>
              <w:t xml:space="preserve">оефициент на напусналите служители (2012, 2013 и </w:t>
            </w:r>
            <w:r w:rsidRPr="00C83BE0">
              <w:rPr>
                <w:sz w:val="24"/>
                <w:szCs w:val="24"/>
              </w:rPr>
              <w:lastRenderedPageBreak/>
              <w:t>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rFonts w:eastAsia="Times New Roman" w:cs="Calibri"/>
                <w:sz w:val="24"/>
                <w:szCs w:val="24"/>
                <w:lang w:val="en-US" w:eastAsia="pl-PL"/>
              </w:rPr>
            </w:pPr>
            <w:r w:rsidRPr="00C83BE0">
              <w:rPr>
                <w:rFonts w:eastAsia="Times New Roman" w:cs="Calibri"/>
                <w:sz w:val="24"/>
                <w:szCs w:val="24"/>
                <w:lang w:val="en-US" w:eastAsia="pl-PL"/>
              </w:rPr>
              <w:lastRenderedPageBreak/>
              <w:t>3</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sz w:val="24"/>
                <w:szCs w:val="24"/>
              </w:rPr>
            </w:pPr>
            <w:r w:rsidRPr="00C83BE0">
              <w:rPr>
                <w:rFonts w:eastAsia="Times New Roman" w:cs="Calibri"/>
                <w:sz w:val="24"/>
                <w:szCs w:val="24"/>
                <w:lang w:eastAsia="pl-PL"/>
              </w:rPr>
              <w:lastRenderedPageBreak/>
              <w:t xml:space="preserve">6. </w:t>
            </w:r>
            <w:r w:rsidR="00E43D0D">
              <w:rPr>
                <w:rFonts w:eastAsia="Times New Roman" w:cs="Calibri"/>
                <w:sz w:val="24"/>
                <w:szCs w:val="24"/>
                <w:lang w:eastAsia="pl-PL"/>
              </w:rPr>
              <w:t xml:space="preserve">Средно претеглен коефициент на </w:t>
            </w:r>
            <w:r w:rsidR="00E43D0D">
              <w:rPr>
                <w:sz w:val="24"/>
                <w:szCs w:val="24"/>
              </w:rPr>
              <w:t>п</w:t>
            </w:r>
            <w:r w:rsidRPr="00C83BE0">
              <w:rPr>
                <w:sz w:val="24"/>
                <w:szCs w:val="24"/>
              </w:rPr>
              <w:t>риходи от износ (2012, 2013, 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bCs/>
                <w:sz w:val="24"/>
                <w:szCs w:val="24"/>
                <w:lang w:val="en-US"/>
              </w:rPr>
            </w:pPr>
            <w:r w:rsidRPr="00C83BE0">
              <w:rPr>
                <w:bCs/>
                <w:sz w:val="24"/>
                <w:szCs w:val="24"/>
                <w:lang w:val="en-US"/>
              </w:rPr>
              <w:t>3</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B4ADF">
            <w:pPr>
              <w:spacing w:before="60" w:after="60" w:line="240" w:lineRule="auto"/>
              <w:jc w:val="both"/>
              <w:rPr>
                <w:sz w:val="24"/>
                <w:szCs w:val="24"/>
              </w:rPr>
            </w:pPr>
            <w:r w:rsidRPr="00C83BE0">
              <w:rPr>
                <w:sz w:val="24"/>
                <w:szCs w:val="24"/>
              </w:rPr>
              <w:t xml:space="preserve">7. </w:t>
            </w:r>
            <w:r w:rsidR="00192739">
              <w:rPr>
                <w:sz w:val="24"/>
                <w:szCs w:val="24"/>
              </w:rPr>
              <w:t>Средно</w:t>
            </w:r>
            <w:r w:rsidR="008656C2">
              <w:rPr>
                <w:sz w:val="24"/>
                <w:szCs w:val="24"/>
              </w:rPr>
              <w:t xml:space="preserve"> </w:t>
            </w:r>
            <w:r w:rsidR="00192739">
              <w:rPr>
                <w:sz w:val="24"/>
                <w:szCs w:val="24"/>
              </w:rPr>
              <w:t>претеглен</w:t>
            </w:r>
            <w:r w:rsidRPr="00C83BE0">
              <w:rPr>
                <w:sz w:val="24"/>
                <w:szCs w:val="24"/>
              </w:rPr>
              <w:t xml:space="preserve"> </w:t>
            </w:r>
            <w:proofErr w:type="spellStart"/>
            <w:r w:rsidRPr="00C83BE0">
              <w:rPr>
                <w:sz w:val="24"/>
                <w:szCs w:val="24"/>
              </w:rPr>
              <w:t>маржин</w:t>
            </w:r>
            <w:proofErr w:type="spellEnd"/>
            <w:r w:rsidRPr="00C83BE0">
              <w:rPr>
                <w:sz w:val="24"/>
                <w:szCs w:val="24"/>
              </w:rPr>
              <w:t xml:space="preserve"> на печалбата </w:t>
            </w:r>
            <w:r w:rsidR="009B4ADF">
              <w:rPr>
                <w:sz w:val="24"/>
                <w:szCs w:val="24"/>
              </w:rPr>
              <w:t>(2012, 2013, 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bCs/>
                <w:sz w:val="24"/>
                <w:szCs w:val="24"/>
                <w:lang w:val="en-US"/>
              </w:rPr>
            </w:pPr>
            <w:r w:rsidRPr="00C83BE0">
              <w:rPr>
                <w:bCs/>
                <w:sz w:val="24"/>
                <w:szCs w:val="24"/>
                <w:lang w:val="en-US"/>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581F2F">
            <w:pPr>
              <w:rPr>
                <w:sz w:val="24"/>
                <w:szCs w:val="24"/>
              </w:rPr>
            </w:pPr>
            <w:r w:rsidRPr="00C83BE0">
              <w:rPr>
                <w:sz w:val="24"/>
                <w:szCs w:val="24"/>
              </w:rPr>
              <w:t xml:space="preserve">8. </w:t>
            </w:r>
            <w:r w:rsidR="00192739">
              <w:rPr>
                <w:sz w:val="24"/>
                <w:szCs w:val="24"/>
              </w:rPr>
              <w:t>Средно</w:t>
            </w:r>
            <w:r w:rsidR="008656C2">
              <w:rPr>
                <w:sz w:val="24"/>
                <w:szCs w:val="24"/>
              </w:rPr>
              <w:t xml:space="preserve"> </w:t>
            </w:r>
            <w:r w:rsidR="00192739">
              <w:rPr>
                <w:sz w:val="24"/>
                <w:szCs w:val="24"/>
              </w:rPr>
              <w:t>претеглена</w:t>
            </w:r>
            <w:r w:rsidRPr="00C83BE0">
              <w:rPr>
                <w:sz w:val="24"/>
                <w:szCs w:val="24"/>
              </w:rPr>
              <w:t xml:space="preserve"> брутна добавена стойност</w:t>
            </w:r>
            <w:r w:rsidR="00581F2F">
              <w:rPr>
                <w:sz w:val="24"/>
                <w:szCs w:val="24"/>
              </w:rPr>
              <w:t xml:space="preserve"> (2012, 2013, 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bCs/>
                <w:sz w:val="24"/>
                <w:szCs w:val="24"/>
                <w:lang w:val="en-US"/>
              </w:rPr>
            </w:pPr>
            <w:r w:rsidRPr="00C83BE0">
              <w:rPr>
                <w:bCs/>
                <w:sz w:val="24"/>
                <w:szCs w:val="24"/>
                <w:lang w:val="en-US"/>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581F2F">
            <w:pPr>
              <w:rPr>
                <w:sz w:val="24"/>
                <w:szCs w:val="24"/>
              </w:rPr>
            </w:pPr>
            <w:r w:rsidRPr="00C83BE0">
              <w:rPr>
                <w:sz w:val="24"/>
                <w:szCs w:val="24"/>
                <w:lang w:val="en-US"/>
              </w:rPr>
              <w:t>9</w:t>
            </w:r>
            <w:r w:rsidRPr="00C83BE0">
              <w:rPr>
                <w:sz w:val="24"/>
                <w:szCs w:val="24"/>
              </w:rPr>
              <w:t xml:space="preserve">. </w:t>
            </w:r>
            <w:r w:rsidR="003D012A">
              <w:rPr>
                <w:sz w:val="24"/>
                <w:szCs w:val="24"/>
              </w:rPr>
              <w:t>Средно</w:t>
            </w:r>
            <w:r w:rsidR="008656C2">
              <w:rPr>
                <w:sz w:val="24"/>
                <w:szCs w:val="24"/>
              </w:rPr>
              <w:t xml:space="preserve"> </w:t>
            </w:r>
            <w:r w:rsidR="003D012A">
              <w:rPr>
                <w:sz w:val="24"/>
                <w:szCs w:val="24"/>
              </w:rPr>
              <w:t>претеглен коефициент</w:t>
            </w:r>
            <w:r w:rsidRPr="00C83BE0">
              <w:rPr>
                <w:sz w:val="24"/>
                <w:szCs w:val="24"/>
              </w:rPr>
              <w:t xml:space="preserve"> на търговска активност </w:t>
            </w:r>
            <w:r w:rsidR="00581F2F">
              <w:rPr>
                <w:sz w:val="24"/>
                <w:szCs w:val="24"/>
              </w:rPr>
              <w:t>(2012, 2013, 2014 г.)</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center"/>
              <w:rPr>
                <w:bCs/>
                <w:sz w:val="24"/>
                <w:szCs w:val="24"/>
                <w:lang w:val="en-US"/>
              </w:rPr>
            </w:pPr>
            <w:r w:rsidRPr="00C83BE0">
              <w:rPr>
                <w:bCs/>
                <w:sz w:val="24"/>
                <w:szCs w:val="24"/>
                <w:lang w:val="en-US"/>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rPr>
                <w:sz w:val="24"/>
                <w:szCs w:val="24"/>
              </w:rPr>
            </w:pPr>
            <w:r w:rsidRPr="00C83BE0">
              <w:rPr>
                <w:rFonts w:eastAsia="Times New Roman" w:cs="Calibri"/>
                <w:b/>
                <w:sz w:val="24"/>
                <w:szCs w:val="24"/>
                <w:lang w:eastAsia="pl-PL"/>
              </w:rPr>
              <w:t>III. Конкурентоспособност на предприятието в резултат на изпълнението на проекта (прогнозни данни)</w:t>
            </w:r>
          </w:p>
        </w:tc>
        <w:tc>
          <w:tcPr>
            <w:tcW w:w="768"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spacing w:before="60" w:after="60" w:line="360" w:lineRule="auto"/>
              <w:jc w:val="center"/>
              <w:rPr>
                <w:rFonts w:eastAsia="Times New Roman" w:cs="Calibri"/>
                <w:b/>
                <w:sz w:val="24"/>
                <w:szCs w:val="24"/>
                <w:lang w:val="en-US" w:eastAsia="pl-PL"/>
              </w:rPr>
            </w:pPr>
            <w:r w:rsidRPr="00C83BE0">
              <w:rPr>
                <w:rFonts w:eastAsia="Times New Roman" w:cs="Calibri"/>
                <w:b/>
                <w:sz w:val="24"/>
                <w:szCs w:val="24"/>
                <w:lang w:val="en-US" w:eastAsia="pl-PL"/>
              </w:rPr>
              <w:t>16</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rPr>
                <w:sz w:val="24"/>
                <w:szCs w:val="24"/>
              </w:rPr>
            </w:pPr>
            <w:r w:rsidRPr="00C83BE0">
              <w:rPr>
                <w:rFonts w:eastAsia="Times New Roman" w:cs="Calibri"/>
                <w:sz w:val="24"/>
                <w:szCs w:val="24"/>
                <w:lang w:eastAsia="pl-PL"/>
              </w:rPr>
              <w:t xml:space="preserve">1. Вътрешна норма на </w:t>
            </w:r>
            <w:r w:rsidRPr="00C83BE0">
              <w:rPr>
                <w:bCs/>
                <w:sz w:val="24"/>
                <w:szCs w:val="24"/>
              </w:rPr>
              <w:t>възвръщаемост</w:t>
            </w:r>
            <w:r w:rsidRPr="00C83BE0">
              <w:rPr>
                <w:rFonts w:eastAsia="Times New Roman" w:cs="Calibri"/>
                <w:sz w:val="24"/>
                <w:szCs w:val="24"/>
                <w:lang w:eastAsia="pl-PL"/>
              </w:rPr>
              <w:t xml:space="preserve"> (IRR)</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Del="008A261B" w:rsidRDefault="007D1229" w:rsidP="0094661D">
            <w:pPr>
              <w:spacing w:before="60" w:after="60" w:line="360" w:lineRule="auto"/>
              <w:jc w:val="center"/>
              <w:rPr>
                <w:rFonts w:eastAsia="Times New Roman" w:cs="Calibri"/>
                <w:sz w:val="24"/>
                <w:szCs w:val="24"/>
                <w:lang w:val="en-US" w:eastAsia="pl-PL"/>
              </w:rPr>
            </w:pPr>
            <w:r w:rsidRPr="00C83BE0">
              <w:rPr>
                <w:rFonts w:eastAsia="Times New Roman" w:cs="Calibri"/>
                <w:sz w:val="24"/>
                <w:szCs w:val="24"/>
                <w:lang w:val="en-US" w:eastAsia="pl-PL"/>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rFonts w:eastAsia="Times New Roman" w:cs="Calibri"/>
                <w:sz w:val="24"/>
                <w:szCs w:val="24"/>
                <w:lang w:eastAsia="pl-PL"/>
              </w:rPr>
            </w:pPr>
            <w:r w:rsidRPr="00C83BE0">
              <w:rPr>
                <w:rFonts w:eastAsia="Times New Roman" w:cs="Calibri"/>
                <w:sz w:val="24"/>
                <w:szCs w:val="24"/>
                <w:lang w:eastAsia="pl-PL"/>
              </w:rPr>
              <w:t xml:space="preserve">2.  </w:t>
            </w:r>
            <w:proofErr w:type="spellStart"/>
            <w:r w:rsidRPr="00C83BE0">
              <w:rPr>
                <w:rFonts w:eastAsia="Times New Roman" w:cs="Calibri"/>
                <w:sz w:val="24"/>
                <w:szCs w:val="24"/>
                <w:lang w:eastAsia="pl-PL"/>
              </w:rPr>
              <w:t>Дисконтиран</w:t>
            </w:r>
            <w:proofErr w:type="spellEnd"/>
            <w:r w:rsidRPr="00C83BE0">
              <w:rPr>
                <w:rFonts w:eastAsia="Times New Roman" w:cs="Calibri"/>
                <w:sz w:val="24"/>
                <w:szCs w:val="24"/>
                <w:lang w:eastAsia="pl-PL"/>
              </w:rPr>
              <w:t xml:space="preserve"> срок за откупуване на инвестициите (DPP)</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360" w:lineRule="auto"/>
              <w:jc w:val="center"/>
              <w:rPr>
                <w:rFonts w:eastAsia="Times New Roman" w:cs="Calibri"/>
                <w:sz w:val="24"/>
                <w:szCs w:val="24"/>
                <w:lang w:val="en-US" w:eastAsia="pl-PL"/>
              </w:rPr>
            </w:pPr>
            <w:r w:rsidRPr="00C83BE0">
              <w:rPr>
                <w:rFonts w:eastAsia="Times New Roman" w:cs="Calibri"/>
                <w:sz w:val="24"/>
                <w:szCs w:val="24"/>
                <w:lang w:val="en-US" w:eastAsia="pl-PL"/>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rFonts w:eastAsia="Times New Roman" w:cs="Calibri"/>
                <w:sz w:val="24"/>
                <w:szCs w:val="24"/>
                <w:highlight w:val="yellow"/>
                <w:lang w:eastAsia="pl-PL"/>
              </w:rPr>
            </w:pPr>
            <w:r w:rsidRPr="00C83BE0">
              <w:rPr>
                <w:rFonts w:eastAsia="Times New Roman" w:cs="Calibri"/>
                <w:sz w:val="24"/>
                <w:szCs w:val="24"/>
                <w:lang w:eastAsia="pl-PL"/>
              </w:rPr>
              <w:t>3. Нарастване на производителността на предприятието вследствие на изпълнението на проекта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360" w:lineRule="auto"/>
              <w:jc w:val="center"/>
              <w:rPr>
                <w:rFonts w:eastAsia="Times New Roman" w:cs="Calibri"/>
                <w:sz w:val="24"/>
                <w:szCs w:val="24"/>
                <w:lang w:val="en-US" w:eastAsia="pl-PL"/>
              </w:rPr>
            </w:pPr>
            <w:r w:rsidRPr="00C83BE0">
              <w:rPr>
                <w:rFonts w:eastAsia="Times New Roman" w:cs="Calibri"/>
                <w:sz w:val="24"/>
                <w:szCs w:val="24"/>
                <w:lang w:val="en-US" w:eastAsia="pl-PL"/>
              </w:rPr>
              <w:t>4</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240" w:lineRule="auto"/>
              <w:jc w:val="both"/>
              <w:rPr>
                <w:rFonts w:eastAsia="Times New Roman" w:cs="Calibri"/>
                <w:sz w:val="24"/>
                <w:szCs w:val="24"/>
                <w:highlight w:val="yellow"/>
                <w:lang w:eastAsia="pl-PL"/>
              </w:rPr>
            </w:pPr>
            <w:r w:rsidRPr="00C83BE0">
              <w:rPr>
                <w:rFonts w:eastAsia="Times New Roman" w:cs="Calibri"/>
                <w:sz w:val="24"/>
                <w:szCs w:val="24"/>
                <w:lang w:eastAsia="pl-PL"/>
              </w:rPr>
              <w:t>4.</w:t>
            </w:r>
            <w:r w:rsidRPr="00C83BE0">
              <w:rPr>
                <w:sz w:val="24"/>
                <w:szCs w:val="24"/>
              </w:rPr>
              <w:t xml:space="preserve"> </w:t>
            </w:r>
            <w:r w:rsidRPr="00C83BE0">
              <w:rPr>
                <w:rFonts w:eastAsia="Times New Roman" w:cs="Calibri"/>
                <w:sz w:val="24"/>
                <w:szCs w:val="24"/>
                <w:lang w:eastAsia="pl-PL"/>
              </w:rPr>
              <w:t>Нарастване на нетните приходи от продажби/Обща стойност на проекта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360" w:lineRule="auto"/>
              <w:jc w:val="center"/>
              <w:rPr>
                <w:rFonts w:eastAsia="Times New Roman" w:cs="Calibri"/>
                <w:sz w:val="24"/>
                <w:szCs w:val="24"/>
                <w:lang w:eastAsia="pl-PL"/>
              </w:rPr>
            </w:pPr>
            <w:r w:rsidRPr="00C83BE0">
              <w:rPr>
                <w:rFonts w:eastAsia="Times New Roman" w:cs="Calibri"/>
                <w:sz w:val="24"/>
                <w:szCs w:val="24"/>
                <w:lang w:eastAsia="pl-PL"/>
              </w:rPr>
              <w:t>4</w:t>
            </w:r>
          </w:p>
        </w:tc>
      </w:tr>
      <w:tr w:rsidR="007D1229"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spacing w:before="60" w:after="60" w:line="240" w:lineRule="auto"/>
              <w:jc w:val="both"/>
              <w:rPr>
                <w:rFonts w:eastAsia="Times New Roman" w:cs="Calibri"/>
                <w:b/>
                <w:sz w:val="24"/>
                <w:szCs w:val="24"/>
                <w:lang w:eastAsia="pl-PL"/>
              </w:rPr>
            </w:pPr>
            <w:r w:rsidRPr="00C83BE0">
              <w:rPr>
                <w:rFonts w:eastAsia="Times New Roman" w:cs="Calibri"/>
                <w:b/>
                <w:sz w:val="24"/>
                <w:szCs w:val="24"/>
                <w:lang w:val="en-US" w:eastAsia="pl-PL"/>
              </w:rPr>
              <w:t>I</w:t>
            </w:r>
            <w:r w:rsidRPr="00C83BE0">
              <w:rPr>
                <w:rFonts w:eastAsia="Times New Roman" w:cs="Calibri"/>
                <w:b/>
                <w:sz w:val="24"/>
                <w:szCs w:val="24"/>
                <w:lang w:eastAsia="pl-PL"/>
              </w:rPr>
              <w:t>V.</w:t>
            </w:r>
            <w:r w:rsidRPr="00C83BE0" w:rsidDel="001948BC">
              <w:rPr>
                <w:rFonts w:eastAsia="Times New Roman" w:cs="Calibri"/>
                <w:b/>
                <w:sz w:val="24"/>
                <w:szCs w:val="24"/>
                <w:lang w:eastAsia="pl-PL"/>
              </w:rPr>
              <w:t xml:space="preserve"> </w:t>
            </w:r>
            <w:proofErr w:type="spellStart"/>
            <w:r w:rsidRPr="00C83BE0">
              <w:rPr>
                <w:rFonts w:eastAsia="Times New Roman" w:cs="Calibri"/>
                <w:b/>
                <w:sz w:val="24"/>
                <w:szCs w:val="24"/>
                <w:lang w:eastAsia="pl-PL"/>
              </w:rPr>
              <w:t>Приоритизиране</w:t>
            </w:r>
            <w:proofErr w:type="spellEnd"/>
            <w:r w:rsidRPr="00C83BE0">
              <w:rPr>
                <w:rFonts w:eastAsia="Times New Roman" w:cs="Calibri"/>
                <w:b/>
                <w:sz w:val="24"/>
                <w:szCs w:val="24"/>
                <w:lang w:eastAsia="pl-PL"/>
              </w:rPr>
              <w:t xml:space="preserve"> на проекти </w:t>
            </w:r>
          </w:p>
        </w:tc>
        <w:tc>
          <w:tcPr>
            <w:tcW w:w="768" w:type="pct"/>
            <w:tcBorders>
              <w:top w:val="single" w:sz="4" w:space="0" w:color="auto"/>
              <w:left w:val="single" w:sz="4" w:space="0" w:color="auto"/>
              <w:bottom w:val="single" w:sz="4" w:space="0" w:color="auto"/>
              <w:right w:val="single" w:sz="4" w:space="0" w:color="auto"/>
            </w:tcBorders>
            <w:shd w:val="clear" w:color="auto" w:fill="D9D9D9"/>
          </w:tcPr>
          <w:p w:rsidR="007D1229" w:rsidRPr="00C83BE0" w:rsidRDefault="007D1229" w:rsidP="0094661D">
            <w:pPr>
              <w:spacing w:before="60" w:after="60" w:line="360" w:lineRule="auto"/>
              <w:jc w:val="center"/>
              <w:rPr>
                <w:rFonts w:eastAsia="Times New Roman" w:cs="Calibri"/>
                <w:b/>
                <w:sz w:val="24"/>
                <w:szCs w:val="24"/>
                <w:lang w:eastAsia="pl-PL"/>
              </w:rPr>
            </w:pPr>
            <w:r w:rsidRPr="00C83BE0">
              <w:rPr>
                <w:rFonts w:eastAsia="Times New Roman" w:cs="Calibri"/>
                <w:b/>
                <w:sz w:val="24"/>
                <w:szCs w:val="24"/>
                <w:lang w:eastAsia="pl-PL"/>
              </w:rPr>
              <w:t>1</w:t>
            </w:r>
            <w:r w:rsidR="00686463">
              <w:rPr>
                <w:rFonts w:eastAsia="Times New Roman" w:cs="Calibri"/>
                <w:b/>
                <w:sz w:val="24"/>
                <w:szCs w:val="24"/>
                <w:lang w:eastAsia="pl-PL"/>
              </w:rPr>
              <w:t>3</w:t>
            </w:r>
          </w:p>
        </w:tc>
      </w:tr>
      <w:tr w:rsidR="007D1229"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FFFFFF"/>
          </w:tcPr>
          <w:p w:rsidR="007D1229" w:rsidRPr="00C83BE0" w:rsidRDefault="007D1229" w:rsidP="0094661D">
            <w:pPr>
              <w:spacing w:before="60" w:after="60" w:line="240" w:lineRule="auto"/>
              <w:jc w:val="both"/>
              <w:rPr>
                <w:rFonts w:eastAsia="Times New Roman" w:cs="Calibri"/>
                <w:i/>
                <w:sz w:val="24"/>
                <w:szCs w:val="24"/>
                <w:lang w:eastAsia="pl-PL"/>
              </w:rPr>
            </w:pPr>
            <w:r w:rsidRPr="00C83BE0">
              <w:rPr>
                <w:rFonts w:eastAsia="Times New Roman" w:cs="Calibri"/>
                <w:sz w:val="24"/>
                <w:szCs w:val="24"/>
                <w:lang w:eastAsia="pl-PL"/>
              </w:rPr>
              <w:t xml:space="preserve">1. Регионална специализация </w:t>
            </w:r>
            <w:r w:rsidR="001767C1">
              <w:rPr>
                <w:rFonts w:eastAsia="Times New Roman" w:cs="Calibri"/>
                <w:sz w:val="24"/>
                <w:szCs w:val="24"/>
                <w:lang w:eastAsia="pl-PL"/>
              </w:rPr>
              <w:t>съгласно ИСИС</w:t>
            </w:r>
          </w:p>
        </w:tc>
        <w:tc>
          <w:tcPr>
            <w:tcW w:w="768" w:type="pct"/>
            <w:tcBorders>
              <w:top w:val="single" w:sz="4" w:space="0" w:color="auto"/>
              <w:left w:val="single" w:sz="4" w:space="0" w:color="auto"/>
              <w:bottom w:val="single" w:sz="4" w:space="0" w:color="auto"/>
              <w:right w:val="single" w:sz="4" w:space="0" w:color="auto"/>
            </w:tcBorders>
            <w:shd w:val="clear" w:color="auto" w:fill="FFFFFF"/>
          </w:tcPr>
          <w:p w:rsidR="007D1229" w:rsidRPr="00C83BE0" w:rsidRDefault="001767C1" w:rsidP="0094661D">
            <w:pPr>
              <w:spacing w:before="60" w:after="60" w:line="360" w:lineRule="auto"/>
              <w:jc w:val="center"/>
              <w:rPr>
                <w:rFonts w:eastAsia="Times New Roman" w:cs="Calibri"/>
                <w:sz w:val="24"/>
                <w:szCs w:val="24"/>
                <w:lang w:eastAsia="pl-PL"/>
              </w:rPr>
            </w:pPr>
            <w:r>
              <w:rPr>
                <w:rFonts w:eastAsia="Times New Roman" w:cs="Calibri"/>
                <w:sz w:val="24"/>
                <w:szCs w:val="24"/>
                <w:lang w:eastAsia="pl-PL"/>
              </w:rPr>
              <w:t>3</w:t>
            </w:r>
          </w:p>
        </w:tc>
      </w:tr>
      <w:tr w:rsidR="001767C1"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FFFFFF"/>
          </w:tcPr>
          <w:p w:rsidR="001767C1" w:rsidRPr="00C83BE0" w:rsidRDefault="001767C1" w:rsidP="0094661D">
            <w:pPr>
              <w:spacing w:before="60" w:after="60" w:line="240" w:lineRule="auto"/>
              <w:jc w:val="both"/>
              <w:rPr>
                <w:rFonts w:eastAsia="Times New Roman" w:cs="Calibri"/>
                <w:sz w:val="24"/>
                <w:szCs w:val="24"/>
                <w:lang w:eastAsia="pl-PL"/>
              </w:rPr>
            </w:pPr>
            <w:r w:rsidRPr="001767C1">
              <w:rPr>
                <w:rFonts w:eastAsia="Times New Roman" w:cs="Calibri"/>
                <w:sz w:val="24"/>
                <w:szCs w:val="24"/>
                <w:lang w:eastAsia="pl-PL"/>
              </w:rPr>
              <w:t>2. Регионална приоритизация за проекти, изпълнявани на територията на СЗР</w:t>
            </w:r>
          </w:p>
        </w:tc>
        <w:tc>
          <w:tcPr>
            <w:tcW w:w="768" w:type="pct"/>
            <w:tcBorders>
              <w:top w:val="single" w:sz="4" w:space="0" w:color="auto"/>
              <w:left w:val="single" w:sz="4" w:space="0" w:color="auto"/>
              <w:bottom w:val="single" w:sz="4" w:space="0" w:color="auto"/>
              <w:right w:val="single" w:sz="4" w:space="0" w:color="auto"/>
            </w:tcBorders>
            <w:shd w:val="clear" w:color="auto" w:fill="FFFFFF"/>
          </w:tcPr>
          <w:p w:rsidR="001767C1" w:rsidRPr="00C83BE0" w:rsidRDefault="001767C1" w:rsidP="0094661D">
            <w:pPr>
              <w:spacing w:before="60" w:after="60" w:line="360" w:lineRule="auto"/>
              <w:jc w:val="center"/>
              <w:rPr>
                <w:rFonts w:eastAsia="Times New Roman" w:cs="Calibri"/>
                <w:sz w:val="24"/>
                <w:szCs w:val="24"/>
                <w:lang w:eastAsia="pl-PL"/>
              </w:rPr>
            </w:pPr>
            <w:r>
              <w:rPr>
                <w:rFonts w:eastAsia="Times New Roman" w:cs="Calibri"/>
                <w:sz w:val="24"/>
                <w:szCs w:val="24"/>
                <w:lang w:eastAsia="pl-PL"/>
              </w:rPr>
              <w:t>2</w:t>
            </w:r>
          </w:p>
        </w:tc>
      </w:tr>
      <w:tr w:rsidR="007D1229"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1767C1" w:rsidP="0094661D">
            <w:pPr>
              <w:spacing w:before="60" w:after="60" w:line="240" w:lineRule="auto"/>
              <w:jc w:val="both"/>
              <w:rPr>
                <w:rFonts w:eastAsia="Times New Roman" w:cs="Calibri"/>
                <w:sz w:val="24"/>
                <w:szCs w:val="24"/>
                <w:lang w:eastAsia="pl-PL"/>
              </w:rPr>
            </w:pPr>
            <w:r>
              <w:rPr>
                <w:rFonts w:eastAsia="Times New Roman" w:cs="Calibri"/>
                <w:sz w:val="24"/>
                <w:szCs w:val="24"/>
                <w:lang w:eastAsia="pl-PL"/>
              </w:rPr>
              <w:t>3</w:t>
            </w:r>
            <w:r w:rsidR="007D1229" w:rsidRPr="00C83BE0">
              <w:rPr>
                <w:rFonts w:eastAsia="Times New Roman" w:cs="Calibri"/>
                <w:sz w:val="24"/>
                <w:szCs w:val="24"/>
                <w:lang w:eastAsia="pl-PL"/>
              </w:rPr>
              <w:t xml:space="preserve">. Надграждане на резултати по Рамковите програми на ЕС </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7D1229" w:rsidP="0094661D">
            <w:pPr>
              <w:spacing w:before="60" w:after="60" w:line="360" w:lineRule="auto"/>
              <w:jc w:val="center"/>
              <w:rPr>
                <w:rFonts w:eastAsia="Times New Roman" w:cs="Calibri"/>
                <w:sz w:val="24"/>
                <w:szCs w:val="24"/>
                <w:lang w:eastAsia="pl-PL"/>
              </w:rPr>
            </w:pPr>
            <w:r w:rsidRPr="00C83BE0">
              <w:rPr>
                <w:rFonts w:eastAsia="Times New Roman" w:cs="Calibri"/>
                <w:sz w:val="24"/>
                <w:szCs w:val="24"/>
                <w:lang w:eastAsia="pl-PL"/>
              </w:rPr>
              <w:t>5</w:t>
            </w:r>
          </w:p>
        </w:tc>
      </w:tr>
      <w:tr w:rsidR="007D1229"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1767C1" w:rsidP="0094661D">
            <w:pPr>
              <w:spacing w:before="60" w:after="60" w:line="240" w:lineRule="auto"/>
              <w:jc w:val="both"/>
              <w:rPr>
                <w:rFonts w:eastAsia="Times New Roman" w:cs="Calibri"/>
                <w:sz w:val="24"/>
                <w:szCs w:val="24"/>
                <w:lang w:eastAsia="pl-PL"/>
              </w:rPr>
            </w:pPr>
            <w:r>
              <w:rPr>
                <w:rFonts w:eastAsia="Times New Roman" w:cs="Calibri"/>
                <w:sz w:val="24"/>
                <w:szCs w:val="24"/>
                <w:lang w:eastAsia="pl-PL"/>
              </w:rPr>
              <w:t>4</w:t>
            </w:r>
            <w:r w:rsidR="007D1229" w:rsidRPr="00C83BE0">
              <w:rPr>
                <w:rFonts w:eastAsia="Times New Roman" w:cs="Calibri"/>
                <w:sz w:val="24"/>
                <w:szCs w:val="24"/>
                <w:lang w:eastAsia="pl-PL"/>
              </w:rPr>
              <w:t xml:space="preserve">. Подкрепа за </w:t>
            </w:r>
            <w:proofErr w:type="spellStart"/>
            <w:r w:rsidR="007D1229" w:rsidRPr="00C83BE0">
              <w:rPr>
                <w:rFonts w:eastAsia="Times New Roman" w:cs="Calibri"/>
                <w:sz w:val="24"/>
                <w:szCs w:val="24"/>
                <w:lang w:eastAsia="pl-PL"/>
              </w:rPr>
              <w:t>еко-иновации</w:t>
            </w:r>
            <w:proofErr w:type="spellEnd"/>
            <w:r w:rsidR="007D1229" w:rsidRPr="00C83BE0">
              <w:rPr>
                <w:rFonts w:eastAsia="Times New Roman" w:cs="Calibri"/>
                <w:sz w:val="24"/>
                <w:szCs w:val="24"/>
                <w:lang w:eastAsia="pl-PL"/>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7D1229" w:rsidRPr="00C83BE0" w:rsidRDefault="00686463" w:rsidP="0094661D">
            <w:pPr>
              <w:spacing w:before="60" w:after="60" w:line="360" w:lineRule="auto"/>
              <w:jc w:val="center"/>
              <w:rPr>
                <w:rFonts w:eastAsia="Times New Roman" w:cs="Calibri"/>
                <w:sz w:val="24"/>
                <w:szCs w:val="24"/>
                <w:lang w:eastAsia="pl-PL"/>
              </w:rPr>
            </w:pPr>
            <w:r>
              <w:rPr>
                <w:rFonts w:eastAsia="Times New Roman" w:cs="Calibri"/>
                <w:sz w:val="24"/>
                <w:szCs w:val="24"/>
                <w:lang w:eastAsia="pl-PL"/>
              </w:rPr>
              <w:t>3</w:t>
            </w:r>
          </w:p>
        </w:tc>
      </w:tr>
      <w:tr w:rsidR="00501F9F" w:rsidRPr="00C83BE0" w:rsidTr="00853E6B">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F9F" w:rsidRDefault="00501F9F" w:rsidP="0094661D">
            <w:pPr>
              <w:spacing w:before="60" w:after="60" w:line="240" w:lineRule="auto"/>
              <w:jc w:val="both"/>
              <w:rPr>
                <w:rFonts w:eastAsia="Times New Roman" w:cs="Calibri"/>
                <w:sz w:val="24"/>
                <w:szCs w:val="24"/>
                <w:lang w:eastAsia="pl-PL"/>
              </w:rPr>
            </w:pPr>
            <w:r w:rsidRPr="00C83BE0">
              <w:rPr>
                <w:rFonts w:eastAsia="Times New Roman" w:cs="Calibri"/>
                <w:b/>
                <w:sz w:val="24"/>
                <w:szCs w:val="24"/>
                <w:lang w:eastAsia="pl-PL"/>
              </w:rPr>
              <w:t>V.</w:t>
            </w:r>
            <w:r w:rsidRPr="00C83BE0" w:rsidDel="001948BC">
              <w:rPr>
                <w:rFonts w:eastAsia="Times New Roman" w:cs="Calibri"/>
                <w:b/>
                <w:sz w:val="24"/>
                <w:szCs w:val="24"/>
                <w:lang w:eastAsia="pl-PL"/>
              </w:rPr>
              <w:t xml:space="preserve"> </w:t>
            </w:r>
            <w:r w:rsidRPr="00501F9F">
              <w:rPr>
                <w:rFonts w:eastAsia="Times New Roman" w:cs="Calibri"/>
                <w:b/>
                <w:sz w:val="24"/>
                <w:szCs w:val="24"/>
                <w:lang w:val="pl-PL" w:eastAsia="pl-PL"/>
              </w:rPr>
              <w:t>Реалистичност на разходите по проекта</w:t>
            </w: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1F9F" w:rsidRDefault="00853E6B" w:rsidP="0094661D">
            <w:pPr>
              <w:spacing w:before="60" w:after="60" w:line="360" w:lineRule="auto"/>
              <w:jc w:val="center"/>
              <w:rPr>
                <w:rFonts w:eastAsia="Times New Roman" w:cs="Calibri"/>
                <w:sz w:val="24"/>
                <w:szCs w:val="24"/>
                <w:lang w:eastAsia="pl-PL"/>
              </w:rPr>
            </w:pPr>
            <w:r>
              <w:rPr>
                <w:rFonts w:eastAsia="Times New Roman" w:cs="Calibri"/>
                <w:b/>
                <w:sz w:val="24"/>
                <w:szCs w:val="24"/>
                <w:lang w:eastAsia="pl-PL"/>
              </w:rPr>
              <w:t>5</w:t>
            </w:r>
          </w:p>
        </w:tc>
      </w:tr>
      <w:tr w:rsidR="00501F9F" w:rsidRPr="00C83BE0" w:rsidTr="0094661D">
        <w:trPr>
          <w:trHeight w:val="225"/>
        </w:trPr>
        <w:tc>
          <w:tcPr>
            <w:tcW w:w="4232" w:type="pct"/>
            <w:tcBorders>
              <w:top w:val="single" w:sz="4" w:space="0" w:color="auto"/>
              <w:left w:val="single" w:sz="4" w:space="0" w:color="auto"/>
              <w:bottom w:val="single" w:sz="4" w:space="0" w:color="auto"/>
              <w:right w:val="single" w:sz="4" w:space="0" w:color="auto"/>
            </w:tcBorders>
            <w:shd w:val="clear" w:color="auto" w:fill="auto"/>
          </w:tcPr>
          <w:p w:rsidR="00501F9F" w:rsidRDefault="00853E6B" w:rsidP="0094661D">
            <w:pPr>
              <w:spacing w:before="60" w:after="60" w:line="240" w:lineRule="auto"/>
              <w:jc w:val="both"/>
              <w:rPr>
                <w:rFonts w:eastAsia="Times New Roman" w:cs="Calibri"/>
                <w:sz w:val="24"/>
                <w:szCs w:val="24"/>
                <w:lang w:eastAsia="pl-PL"/>
              </w:rPr>
            </w:pPr>
            <w:r>
              <w:rPr>
                <w:rFonts w:eastAsia="Times New Roman" w:cs="Calibri"/>
                <w:sz w:val="24"/>
                <w:szCs w:val="24"/>
                <w:lang w:eastAsia="pl-PL"/>
              </w:rPr>
              <w:t xml:space="preserve">1. </w:t>
            </w:r>
            <w:r w:rsidRPr="00853E6B">
              <w:rPr>
                <w:rFonts w:eastAsia="Times New Roman" w:cs="Calibri"/>
                <w:sz w:val="24"/>
                <w:szCs w:val="24"/>
                <w:lang w:eastAsia="pl-PL"/>
              </w:rPr>
              <w:t>Реалистичност на разходите по проекта</w:t>
            </w:r>
          </w:p>
        </w:tc>
        <w:tc>
          <w:tcPr>
            <w:tcW w:w="768" w:type="pct"/>
            <w:tcBorders>
              <w:top w:val="single" w:sz="4" w:space="0" w:color="auto"/>
              <w:left w:val="single" w:sz="4" w:space="0" w:color="auto"/>
              <w:bottom w:val="single" w:sz="4" w:space="0" w:color="auto"/>
              <w:right w:val="single" w:sz="4" w:space="0" w:color="auto"/>
            </w:tcBorders>
            <w:shd w:val="clear" w:color="auto" w:fill="auto"/>
          </w:tcPr>
          <w:p w:rsidR="00501F9F" w:rsidRDefault="00853E6B" w:rsidP="0094661D">
            <w:pPr>
              <w:spacing w:before="60" w:after="60" w:line="360" w:lineRule="auto"/>
              <w:jc w:val="center"/>
              <w:rPr>
                <w:rFonts w:eastAsia="Times New Roman" w:cs="Calibri"/>
                <w:sz w:val="24"/>
                <w:szCs w:val="24"/>
                <w:lang w:eastAsia="pl-PL"/>
              </w:rPr>
            </w:pPr>
            <w:r>
              <w:rPr>
                <w:rFonts w:eastAsia="Times New Roman" w:cs="Calibri"/>
                <w:sz w:val="24"/>
                <w:szCs w:val="24"/>
                <w:lang w:eastAsia="pl-PL"/>
              </w:rPr>
              <w:t>5</w:t>
            </w:r>
          </w:p>
        </w:tc>
      </w:tr>
      <w:tr w:rsidR="007D1229" w:rsidRPr="00C83BE0" w:rsidTr="0094661D">
        <w:tc>
          <w:tcPr>
            <w:tcW w:w="4232" w:type="pct"/>
            <w:tcBorders>
              <w:top w:val="single" w:sz="4" w:space="0" w:color="auto"/>
              <w:left w:val="single" w:sz="4" w:space="0" w:color="auto"/>
              <w:bottom w:val="single" w:sz="4" w:space="0" w:color="auto"/>
              <w:right w:val="single" w:sz="4" w:space="0" w:color="auto"/>
            </w:tcBorders>
            <w:shd w:val="clear" w:color="auto" w:fill="A6A6A6"/>
          </w:tcPr>
          <w:p w:rsidR="007D1229" w:rsidRPr="00C83BE0" w:rsidRDefault="007D1229" w:rsidP="0094661D">
            <w:pPr>
              <w:spacing w:before="60" w:after="60" w:line="240" w:lineRule="auto"/>
              <w:jc w:val="right"/>
              <w:rPr>
                <w:rFonts w:eastAsia="Times New Roman" w:cs="Calibri"/>
                <w:sz w:val="24"/>
                <w:szCs w:val="24"/>
                <w:lang w:eastAsia="bg-BG"/>
              </w:rPr>
            </w:pPr>
            <w:r w:rsidRPr="00C83BE0">
              <w:rPr>
                <w:rFonts w:eastAsia="Times New Roman" w:cs="Calibri"/>
                <w:b/>
                <w:i/>
                <w:sz w:val="24"/>
                <w:szCs w:val="24"/>
                <w:lang w:eastAsia="bg-BG"/>
              </w:rPr>
              <w:t>Максимален брой точки:</w:t>
            </w:r>
          </w:p>
        </w:tc>
        <w:tc>
          <w:tcPr>
            <w:tcW w:w="768" w:type="pct"/>
            <w:tcBorders>
              <w:top w:val="single" w:sz="4" w:space="0" w:color="auto"/>
              <w:left w:val="single" w:sz="4" w:space="0" w:color="auto"/>
              <w:bottom w:val="single" w:sz="4" w:space="0" w:color="auto"/>
              <w:right w:val="single" w:sz="4" w:space="0" w:color="auto"/>
            </w:tcBorders>
            <w:shd w:val="clear" w:color="auto" w:fill="A6A6A6"/>
          </w:tcPr>
          <w:p w:rsidR="007D1229" w:rsidRPr="00C83BE0" w:rsidRDefault="007D1229" w:rsidP="0094661D">
            <w:pPr>
              <w:spacing w:before="60" w:after="60" w:line="240" w:lineRule="auto"/>
              <w:jc w:val="center"/>
              <w:rPr>
                <w:rFonts w:eastAsia="Times New Roman" w:cs="Calibri"/>
                <w:b/>
                <w:sz w:val="24"/>
                <w:szCs w:val="24"/>
                <w:lang w:eastAsia="pl-PL"/>
              </w:rPr>
            </w:pPr>
            <w:r w:rsidRPr="00C83BE0">
              <w:rPr>
                <w:rFonts w:eastAsia="Times New Roman" w:cs="Calibri"/>
                <w:b/>
                <w:sz w:val="24"/>
                <w:szCs w:val="24"/>
                <w:lang w:eastAsia="pl-PL"/>
              </w:rPr>
              <w:t>100</w:t>
            </w:r>
          </w:p>
        </w:tc>
      </w:tr>
    </w:tbl>
    <w:p w:rsidR="007D1229" w:rsidRPr="00C83BE0" w:rsidRDefault="007D1229" w:rsidP="00310A6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F61959" w:rsidRPr="00BD3276" w:rsidRDefault="00F61959" w:rsidP="00310A6E">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rsidR="00310A6E" w:rsidRPr="00BD3276" w:rsidRDefault="00310A6E" w:rsidP="00310A6E">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Проектните</w:t>
      </w:r>
      <w:r w:rsidR="007E6B50" w:rsidRPr="00BD3276">
        <w:rPr>
          <w:sz w:val="24"/>
          <w:szCs w:val="24"/>
        </w:rPr>
        <w:t xml:space="preserve"> предложения, получили минимум </w:t>
      </w:r>
      <w:r w:rsidR="00E73E45">
        <w:rPr>
          <w:sz w:val="24"/>
          <w:szCs w:val="24"/>
        </w:rPr>
        <w:t>60</w:t>
      </w:r>
      <w:r w:rsidR="0046183F" w:rsidRPr="00BD3276">
        <w:rPr>
          <w:sz w:val="24"/>
          <w:szCs w:val="24"/>
        </w:rPr>
        <w:t xml:space="preserve"> </w:t>
      </w:r>
      <w:r w:rsidRPr="00BD3276">
        <w:rPr>
          <w:sz w:val="24"/>
          <w:szCs w:val="24"/>
        </w:rPr>
        <w:t>точки на етап „Техническа и финансова оценка”, се класират в низходящ ре</w:t>
      </w:r>
      <w:r w:rsidR="00AA6553" w:rsidRPr="00BD3276">
        <w:rPr>
          <w:sz w:val="24"/>
          <w:szCs w:val="24"/>
        </w:rPr>
        <w:t>д съобразно получената оценка,</w:t>
      </w:r>
      <w:r w:rsidR="00C50907" w:rsidRPr="00BD3276">
        <w:rPr>
          <w:sz w:val="24"/>
          <w:szCs w:val="24"/>
        </w:rPr>
        <w:t xml:space="preserve"> </w:t>
      </w:r>
      <w:r w:rsidR="00EC21D9" w:rsidRPr="00BD3276">
        <w:rPr>
          <w:sz w:val="24"/>
          <w:szCs w:val="24"/>
        </w:rPr>
        <w:t>като се изготвят отделни списъци за класиране съобразно</w:t>
      </w:r>
      <w:r w:rsidR="00AA6553" w:rsidRPr="00BD3276">
        <w:rPr>
          <w:sz w:val="24"/>
          <w:szCs w:val="24"/>
        </w:rPr>
        <w:t xml:space="preserve"> </w:t>
      </w:r>
      <w:r w:rsidRPr="00BD3276">
        <w:rPr>
          <w:sz w:val="24"/>
          <w:szCs w:val="24"/>
        </w:rPr>
        <w:t>декларираната от кандидата категория на предприятието</w:t>
      </w:r>
      <w:r w:rsidR="00EC21D9" w:rsidRPr="00BD3276">
        <w:rPr>
          <w:sz w:val="24"/>
          <w:szCs w:val="24"/>
        </w:rPr>
        <w:t>. З</w:t>
      </w:r>
      <w:r w:rsidRPr="00BD3276">
        <w:rPr>
          <w:sz w:val="24"/>
          <w:szCs w:val="24"/>
        </w:rPr>
        <w:t xml:space="preserve">а финансиране се предлагат всички или част от проектите по реда на класирането до покриване на размера на бюджета за съответната </w:t>
      </w:r>
      <w:r w:rsidR="00AA6553" w:rsidRPr="00BD3276">
        <w:rPr>
          <w:sz w:val="24"/>
          <w:szCs w:val="24"/>
        </w:rPr>
        <w:t xml:space="preserve">група съгласно технологичната интензивност и </w:t>
      </w:r>
      <w:r w:rsidRPr="00BD3276">
        <w:rPr>
          <w:sz w:val="24"/>
          <w:szCs w:val="24"/>
        </w:rPr>
        <w:t xml:space="preserve">категория МСП. </w:t>
      </w:r>
    </w:p>
    <w:p w:rsidR="00B90C4E" w:rsidRPr="00BD3276" w:rsidRDefault="00B90C4E" w:rsidP="00B90C4E">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lastRenderedPageBreak/>
        <w:t xml:space="preserve">В случай че </w:t>
      </w:r>
      <w:r w:rsidR="0061370E">
        <w:rPr>
          <w:sz w:val="24"/>
          <w:szCs w:val="24"/>
        </w:rPr>
        <w:t>дадено проектно</w:t>
      </w:r>
      <w:r w:rsidRPr="00BD3276">
        <w:rPr>
          <w:sz w:val="24"/>
          <w:szCs w:val="24"/>
        </w:rPr>
        <w:t xml:space="preserve"> предложение </w:t>
      </w:r>
      <w:r w:rsidR="0061370E">
        <w:rPr>
          <w:sz w:val="24"/>
          <w:szCs w:val="24"/>
        </w:rPr>
        <w:t xml:space="preserve">получи „0“ точки по показател </w:t>
      </w:r>
      <w:r w:rsidRPr="00BD3276">
        <w:rPr>
          <w:sz w:val="24"/>
          <w:szCs w:val="24"/>
        </w:rPr>
        <w:t>„</w:t>
      </w:r>
      <w:r w:rsidR="0061370E" w:rsidRPr="00F61959">
        <w:rPr>
          <w:rFonts w:eastAsia="Times New Roman" w:cs="Calibri"/>
          <w:bCs/>
          <w:color w:val="000000"/>
          <w:sz w:val="24"/>
          <w:szCs w:val="24"/>
          <w:lang w:eastAsia="pl-PL"/>
        </w:rPr>
        <w:t>Новост на подкрепяната иновация</w:t>
      </w:r>
      <w:r w:rsidRPr="00BD3276">
        <w:rPr>
          <w:sz w:val="24"/>
          <w:szCs w:val="24"/>
        </w:rPr>
        <w:t>“, проектното предложение се отхвърля.</w:t>
      </w:r>
    </w:p>
    <w:p w:rsidR="00310A6E" w:rsidRPr="00BD3276" w:rsidRDefault="00310A6E" w:rsidP="00310A6E">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 xml:space="preserve">За проектни предложения, които са получили </w:t>
      </w:r>
      <w:r w:rsidRPr="00BD3276">
        <w:rPr>
          <w:sz w:val="24"/>
          <w:szCs w:val="24"/>
          <w:u w:val="single"/>
        </w:rPr>
        <w:t>еднакъв</w:t>
      </w:r>
      <w:r w:rsidRPr="00BD3276">
        <w:rPr>
          <w:sz w:val="24"/>
          <w:szCs w:val="24"/>
        </w:rPr>
        <w:t xml:space="preserve"> средноаритметичен брой точки на етап „Техническа и финансова оценка“</w:t>
      </w:r>
      <w:r w:rsidR="009D6765" w:rsidRPr="00BD3276">
        <w:rPr>
          <w:sz w:val="24"/>
          <w:szCs w:val="24"/>
        </w:rPr>
        <w:t>, класирането</w:t>
      </w:r>
      <w:r w:rsidRPr="00BD3276">
        <w:rPr>
          <w:sz w:val="24"/>
          <w:szCs w:val="24"/>
        </w:rPr>
        <w:t xml:space="preserve"> ще се извърши </w:t>
      </w:r>
      <w:r w:rsidR="009D6765" w:rsidRPr="00BD3276">
        <w:rPr>
          <w:sz w:val="24"/>
          <w:szCs w:val="24"/>
        </w:rPr>
        <w:t>по следния начин:</w:t>
      </w:r>
      <w:r w:rsidRPr="00BD3276">
        <w:rPr>
          <w:sz w:val="24"/>
          <w:szCs w:val="24"/>
        </w:rPr>
        <w:t xml:space="preserve"> </w:t>
      </w:r>
      <w:r w:rsidR="009D6765" w:rsidRPr="000D52FA">
        <w:rPr>
          <w:sz w:val="24"/>
          <w:szCs w:val="24"/>
        </w:rPr>
        <w:t>П</w:t>
      </w:r>
      <w:r w:rsidRPr="000D52FA">
        <w:rPr>
          <w:sz w:val="24"/>
          <w:szCs w:val="24"/>
        </w:rPr>
        <w:t>роектни</w:t>
      </w:r>
      <w:r w:rsidR="009D6765" w:rsidRPr="000D52FA">
        <w:rPr>
          <w:sz w:val="24"/>
          <w:szCs w:val="24"/>
        </w:rPr>
        <w:t>те</w:t>
      </w:r>
      <w:r w:rsidRPr="000D52FA">
        <w:rPr>
          <w:sz w:val="24"/>
          <w:szCs w:val="24"/>
        </w:rPr>
        <w:t xml:space="preserve"> предложения </w:t>
      </w:r>
      <w:r w:rsidR="009D6765" w:rsidRPr="000D52FA">
        <w:rPr>
          <w:sz w:val="24"/>
          <w:szCs w:val="24"/>
        </w:rPr>
        <w:t>ще бъдат класирани съобразно получения брой точки по</w:t>
      </w:r>
      <w:r w:rsidRPr="000D52FA">
        <w:rPr>
          <w:sz w:val="24"/>
          <w:szCs w:val="24"/>
        </w:rPr>
        <w:t xml:space="preserve"> раздел „</w:t>
      </w:r>
      <w:r w:rsidR="007D66DB" w:rsidRPr="000D52FA">
        <w:rPr>
          <w:sz w:val="24"/>
          <w:szCs w:val="24"/>
        </w:rPr>
        <w:t>Иновативност и пазарна приложимост на подкрепяната иновация</w:t>
      </w:r>
      <w:r w:rsidRPr="000D52FA">
        <w:rPr>
          <w:sz w:val="24"/>
          <w:szCs w:val="24"/>
        </w:rPr>
        <w:t>“</w:t>
      </w:r>
      <w:r w:rsidR="009D6765" w:rsidRPr="000D52FA">
        <w:rPr>
          <w:sz w:val="24"/>
          <w:szCs w:val="24"/>
        </w:rPr>
        <w:t xml:space="preserve">. В случай че проектните предложения имат равен брой точки по посочения </w:t>
      </w:r>
      <w:r w:rsidR="006B500B" w:rsidRPr="000D52FA">
        <w:rPr>
          <w:sz w:val="24"/>
          <w:szCs w:val="24"/>
        </w:rPr>
        <w:t>раздел</w:t>
      </w:r>
      <w:r w:rsidRPr="000D52FA">
        <w:rPr>
          <w:sz w:val="24"/>
          <w:szCs w:val="24"/>
        </w:rPr>
        <w:t xml:space="preserve">, </w:t>
      </w:r>
      <w:r w:rsidR="006B500B" w:rsidRPr="000D52FA">
        <w:rPr>
          <w:sz w:val="24"/>
          <w:szCs w:val="24"/>
        </w:rPr>
        <w:t>същите ще бъдат класирани съобразно получения брой точки по</w:t>
      </w:r>
      <w:r w:rsidRPr="000D52FA">
        <w:rPr>
          <w:sz w:val="24"/>
          <w:szCs w:val="24"/>
        </w:rPr>
        <w:t xml:space="preserve"> раздел „</w:t>
      </w:r>
      <w:r w:rsidR="00A95F6C" w:rsidRPr="00A95F6C">
        <w:rPr>
          <w:sz w:val="24"/>
          <w:szCs w:val="24"/>
        </w:rPr>
        <w:t>Иновативен капацитет  и финансова стабилност на кандидата</w:t>
      </w:r>
      <w:r w:rsidRPr="000D52FA">
        <w:rPr>
          <w:sz w:val="24"/>
          <w:szCs w:val="24"/>
        </w:rPr>
        <w:t>“</w:t>
      </w:r>
      <w:r w:rsidR="006B500B" w:rsidRPr="000D52FA">
        <w:rPr>
          <w:sz w:val="24"/>
          <w:szCs w:val="24"/>
        </w:rPr>
        <w:t>.</w:t>
      </w:r>
      <w:r w:rsidRPr="000D52FA">
        <w:rPr>
          <w:sz w:val="24"/>
          <w:szCs w:val="24"/>
        </w:rPr>
        <w:t xml:space="preserve"> </w:t>
      </w:r>
      <w:r w:rsidR="006B500B" w:rsidRPr="000D52FA">
        <w:rPr>
          <w:sz w:val="24"/>
          <w:szCs w:val="24"/>
        </w:rPr>
        <w:t>В случай че проектните предложения имат равен брой точки и по този раздел</w:t>
      </w:r>
      <w:r w:rsidRPr="000D52FA">
        <w:rPr>
          <w:sz w:val="24"/>
          <w:szCs w:val="24"/>
        </w:rPr>
        <w:t xml:space="preserve"> </w:t>
      </w:r>
      <w:r w:rsidR="006B500B" w:rsidRPr="000D52FA">
        <w:rPr>
          <w:sz w:val="24"/>
          <w:szCs w:val="24"/>
        </w:rPr>
        <w:t xml:space="preserve">същите ще бъдат класирани съобразно получения брой точки по </w:t>
      </w:r>
      <w:r w:rsidRPr="000D52FA">
        <w:rPr>
          <w:sz w:val="24"/>
          <w:szCs w:val="24"/>
        </w:rPr>
        <w:t>раздел „</w:t>
      </w:r>
      <w:r w:rsidR="00A95F6C" w:rsidRPr="000D52FA">
        <w:rPr>
          <w:sz w:val="24"/>
          <w:szCs w:val="24"/>
        </w:rPr>
        <w:t>Конкурентоспособност на предприятието в резултат на изпълнението на проекта (прогнозни данни)</w:t>
      </w:r>
      <w:r w:rsidRPr="000D52FA">
        <w:rPr>
          <w:sz w:val="24"/>
          <w:szCs w:val="24"/>
        </w:rPr>
        <w:t>“</w:t>
      </w:r>
      <w:r w:rsidR="001B48CE">
        <w:rPr>
          <w:sz w:val="24"/>
          <w:szCs w:val="24"/>
        </w:rPr>
        <w:t xml:space="preserve">. </w:t>
      </w:r>
      <w:r w:rsidR="001B48CE" w:rsidRPr="000D52FA">
        <w:rPr>
          <w:sz w:val="24"/>
          <w:szCs w:val="24"/>
        </w:rPr>
        <w:t>В случай че проектните предложения имат равен брой точки и по този раздел същите ще бъдат класирани съобразно получения брой точки по раздел</w:t>
      </w:r>
      <w:r w:rsidR="001B48CE">
        <w:rPr>
          <w:sz w:val="24"/>
          <w:szCs w:val="24"/>
        </w:rPr>
        <w:t xml:space="preserve"> „</w:t>
      </w:r>
      <w:proofErr w:type="spellStart"/>
      <w:r w:rsidR="001B48CE" w:rsidRPr="001B48CE">
        <w:rPr>
          <w:sz w:val="24"/>
          <w:szCs w:val="24"/>
        </w:rPr>
        <w:t>Приоритизиране</w:t>
      </w:r>
      <w:proofErr w:type="spellEnd"/>
      <w:r w:rsidR="001B48CE" w:rsidRPr="001B48CE">
        <w:rPr>
          <w:sz w:val="24"/>
          <w:szCs w:val="24"/>
        </w:rPr>
        <w:t xml:space="preserve"> на проекти</w:t>
      </w:r>
      <w:r w:rsidR="001B48CE">
        <w:rPr>
          <w:sz w:val="24"/>
          <w:szCs w:val="24"/>
        </w:rPr>
        <w:t xml:space="preserve">“. </w:t>
      </w:r>
      <w:r w:rsidR="001B48CE" w:rsidRPr="000D52FA">
        <w:rPr>
          <w:sz w:val="24"/>
          <w:szCs w:val="24"/>
        </w:rPr>
        <w:t>В случай че проектните предложения имат равен брой точки и по този раздел същите ще бъдат класирани съобразно получения брой точки по раздел</w:t>
      </w:r>
      <w:r w:rsidR="001B48CE">
        <w:rPr>
          <w:sz w:val="24"/>
          <w:szCs w:val="24"/>
        </w:rPr>
        <w:t xml:space="preserve"> „</w:t>
      </w:r>
      <w:r w:rsidR="001B48CE" w:rsidRPr="001B48CE">
        <w:rPr>
          <w:sz w:val="24"/>
          <w:szCs w:val="24"/>
        </w:rPr>
        <w:t>Реалистичност на разходите по проекта</w:t>
      </w:r>
      <w:r w:rsidR="001B48CE">
        <w:rPr>
          <w:sz w:val="24"/>
          <w:szCs w:val="24"/>
        </w:rPr>
        <w:t xml:space="preserve">“ </w:t>
      </w:r>
      <w:r w:rsidRPr="000D52FA">
        <w:rPr>
          <w:sz w:val="24"/>
          <w:szCs w:val="24"/>
        </w:rPr>
        <w:t>.</w:t>
      </w:r>
      <w:r w:rsidRPr="00BD3276">
        <w:rPr>
          <w:sz w:val="24"/>
          <w:szCs w:val="24"/>
        </w:rPr>
        <w:t xml:space="preserve"> </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Решение за отхвърляне</w:t>
      </w:r>
      <w:r w:rsidRPr="00BD3276">
        <w:rPr>
          <w:sz w:val="24"/>
          <w:szCs w:val="24"/>
        </w:rPr>
        <w:t xml:space="preserve"> на дадено проектно предложение ще бъде взимано на следните основания:</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r w:rsidRPr="00BD3276">
        <w:rPr>
          <w:sz w:val="24"/>
          <w:szCs w:val="24"/>
        </w:rPr>
        <w:t xml:space="preserve"> - Предложението е непълно или не отговаря в други отношения на поставените условия за административно съответствие;</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r w:rsidRPr="00BD3276">
        <w:rPr>
          <w:sz w:val="24"/>
          <w:szCs w:val="24"/>
        </w:rPr>
        <w:t xml:space="preserve"> - Кандидатът не отговаря на условията за допустимост;</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r w:rsidRPr="00BD3276">
        <w:rPr>
          <w:sz w:val="24"/>
          <w:szCs w:val="24"/>
        </w:rPr>
        <w:t xml:space="preserve"> - Проектът не отговаря на условията за допустимост;</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r w:rsidRPr="00BD3276">
        <w:rPr>
          <w:sz w:val="24"/>
          <w:szCs w:val="24"/>
        </w:rPr>
        <w:t xml:space="preserve"> - Не са спазени други критерии, посочени в Насоките за кандидатстване;</w:t>
      </w:r>
    </w:p>
    <w:p w:rsidR="00CC0837" w:rsidRPr="00BD3276" w:rsidRDefault="00CC0837"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r w:rsidRPr="00BD3276">
        <w:rPr>
          <w:sz w:val="24"/>
          <w:szCs w:val="24"/>
        </w:rPr>
        <w:t xml:space="preserve"> - Кандидатите умишлено са представили невярна информация с оглед получаване на безвъзмездна помощ по настоящата процедура или не са представили изискваната задължителна според Насоките за кандидатстване информация.</w:t>
      </w:r>
    </w:p>
    <w:p w:rsidR="00187551" w:rsidRPr="00BD3276" w:rsidRDefault="00187551" w:rsidP="00CC0837">
      <w:pPr>
        <w:pStyle w:val="ListParagraph"/>
        <w:pBdr>
          <w:top w:val="single" w:sz="4" w:space="1" w:color="auto"/>
          <w:left w:val="single" w:sz="4" w:space="4" w:color="auto"/>
          <w:bottom w:val="single" w:sz="4" w:space="1" w:color="auto"/>
          <w:right w:val="single" w:sz="4" w:space="4" w:color="auto"/>
        </w:pBdr>
        <w:spacing w:after="480" w:line="240" w:lineRule="auto"/>
        <w:ind w:left="0"/>
        <w:jc w:val="both"/>
        <w:rPr>
          <w:sz w:val="24"/>
          <w:szCs w:val="24"/>
        </w:rPr>
      </w:pPr>
    </w:p>
    <w:p w:rsidR="009A0A3B" w:rsidRPr="00B01DE8" w:rsidRDefault="00C87381" w:rsidP="00430AD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Calibri" w:eastAsia="Calibri" w:hAnsi="Calibri" w:cs="Times New Roman"/>
          <w:b/>
          <w:sz w:val="24"/>
          <w:szCs w:val="24"/>
        </w:rPr>
      </w:pPr>
      <w:r w:rsidRPr="00B01DE8">
        <w:rPr>
          <w:b/>
          <w:sz w:val="24"/>
          <w:szCs w:val="24"/>
        </w:rPr>
        <w:t xml:space="preserve">ВАЖНО: </w:t>
      </w:r>
      <w:r w:rsidR="007F75EA" w:rsidRPr="00B01DE8">
        <w:rPr>
          <w:rFonts w:ascii="Calibri" w:eastAsia="Calibri" w:hAnsi="Calibri" w:cs="Times New Roman"/>
          <w:b/>
          <w:sz w:val="24"/>
          <w:szCs w:val="24"/>
        </w:rPr>
        <w:t xml:space="preserve">В случаите, когато в рамките на период от </w:t>
      </w:r>
      <w:r w:rsidR="003F360A" w:rsidRPr="00B01DE8">
        <w:rPr>
          <w:rFonts w:ascii="Calibri" w:eastAsia="Calibri" w:hAnsi="Calibri" w:cs="Times New Roman"/>
          <w:b/>
          <w:sz w:val="24"/>
          <w:szCs w:val="24"/>
        </w:rPr>
        <w:t>три приключени финансови години, следващи годината на приключване на проекта</w:t>
      </w:r>
      <w:r w:rsidR="007F75EA" w:rsidRPr="00B01DE8">
        <w:rPr>
          <w:rFonts w:ascii="Calibri" w:eastAsia="Calibri" w:hAnsi="Calibri" w:cs="Times New Roman"/>
          <w:b/>
          <w:sz w:val="24"/>
          <w:szCs w:val="24"/>
        </w:rPr>
        <w:t xml:space="preserve"> </w:t>
      </w:r>
      <w:r w:rsidR="003F360A" w:rsidRPr="00B01DE8">
        <w:rPr>
          <w:rFonts w:ascii="Calibri" w:eastAsia="Calibri" w:hAnsi="Calibri" w:cs="Times New Roman"/>
          <w:b/>
          <w:sz w:val="24"/>
          <w:szCs w:val="24"/>
        </w:rPr>
        <w:t xml:space="preserve">не бъде постигната най-малко 75 % от средната претеглената стойност на </w:t>
      </w:r>
      <w:r w:rsidR="007F75EA" w:rsidRPr="00B01DE8">
        <w:rPr>
          <w:rFonts w:ascii="Calibri" w:eastAsia="Calibri" w:hAnsi="Calibri" w:cs="Times New Roman"/>
          <w:b/>
          <w:sz w:val="24"/>
          <w:szCs w:val="24"/>
        </w:rPr>
        <w:t>индикаторите за изпълнение (</w:t>
      </w:r>
      <w:r w:rsidR="00B70B36" w:rsidRPr="00B01DE8">
        <w:rPr>
          <w:rFonts w:ascii="Calibri" w:eastAsia="Calibri" w:hAnsi="Calibri" w:cs="Times New Roman"/>
          <w:b/>
          <w:sz w:val="24"/>
          <w:szCs w:val="24"/>
        </w:rPr>
        <w:t>В</w:t>
      </w:r>
      <w:r w:rsidR="007F75EA" w:rsidRPr="00B01DE8">
        <w:rPr>
          <w:rFonts w:ascii="Calibri" w:eastAsia="Calibri" w:hAnsi="Calibri" w:cs="Times New Roman"/>
          <w:b/>
          <w:sz w:val="24"/>
          <w:szCs w:val="24"/>
        </w:rPr>
        <w:t xml:space="preserve">ътрешна норма на възвръщаемост, </w:t>
      </w:r>
      <w:proofErr w:type="spellStart"/>
      <w:r w:rsidR="00B70B36" w:rsidRPr="00B01DE8">
        <w:rPr>
          <w:rFonts w:ascii="Calibri" w:eastAsia="Calibri" w:hAnsi="Calibri" w:cs="Times New Roman"/>
          <w:b/>
          <w:sz w:val="24"/>
          <w:szCs w:val="24"/>
        </w:rPr>
        <w:t>Дисконтиран</w:t>
      </w:r>
      <w:proofErr w:type="spellEnd"/>
      <w:r w:rsidR="00B70B36" w:rsidRPr="00B01DE8">
        <w:rPr>
          <w:rFonts w:ascii="Calibri" w:eastAsia="Calibri" w:hAnsi="Calibri" w:cs="Times New Roman"/>
          <w:b/>
          <w:sz w:val="24"/>
          <w:szCs w:val="24"/>
        </w:rPr>
        <w:t xml:space="preserve"> срок за откупуване на инвестициите</w:t>
      </w:r>
      <w:r w:rsidR="007F75EA" w:rsidRPr="00B01DE8">
        <w:rPr>
          <w:rFonts w:ascii="Calibri" w:eastAsia="Calibri" w:hAnsi="Calibri" w:cs="Times New Roman"/>
          <w:b/>
          <w:sz w:val="24"/>
          <w:szCs w:val="24"/>
        </w:rPr>
        <w:t xml:space="preserve">, </w:t>
      </w:r>
      <w:r w:rsidR="00B70B36" w:rsidRPr="00B01DE8">
        <w:rPr>
          <w:rFonts w:ascii="Calibri" w:eastAsia="Calibri" w:hAnsi="Calibri" w:cs="Times New Roman"/>
          <w:b/>
          <w:sz w:val="24"/>
          <w:szCs w:val="24"/>
        </w:rPr>
        <w:t>Нарастване на производителността на предприятието вследствие на изпълнението на проекта</w:t>
      </w:r>
      <w:r w:rsidR="007F75EA" w:rsidRPr="00B01DE8">
        <w:rPr>
          <w:rFonts w:ascii="Calibri" w:eastAsia="Calibri" w:hAnsi="Calibri" w:cs="Times New Roman"/>
          <w:b/>
          <w:sz w:val="24"/>
          <w:szCs w:val="24"/>
        </w:rPr>
        <w:t xml:space="preserve">, </w:t>
      </w:r>
      <w:r w:rsidR="00B70B36" w:rsidRPr="00B01DE8">
        <w:rPr>
          <w:rFonts w:ascii="Calibri" w:eastAsia="Calibri" w:hAnsi="Calibri" w:cs="Times New Roman"/>
          <w:b/>
          <w:sz w:val="24"/>
          <w:szCs w:val="24"/>
        </w:rPr>
        <w:t>Нарастване на нетните приходи от продажби/Обща стойност на проекта</w:t>
      </w:r>
      <w:r w:rsidR="007F75EA" w:rsidRPr="00B01DE8">
        <w:rPr>
          <w:rFonts w:ascii="Calibri" w:eastAsia="Calibri" w:hAnsi="Calibri" w:cs="Times New Roman"/>
          <w:b/>
          <w:sz w:val="24"/>
          <w:szCs w:val="24"/>
        </w:rPr>
        <w:t>), Управляващият орган ще изиска възстановяване на от 5% до 2</w:t>
      </w:r>
      <w:r w:rsidR="007F75EA" w:rsidRPr="00B01DE8">
        <w:rPr>
          <w:rFonts w:ascii="Calibri" w:eastAsia="Calibri" w:hAnsi="Calibri" w:cs="Times New Roman"/>
          <w:b/>
          <w:sz w:val="24"/>
          <w:szCs w:val="24"/>
          <w:lang w:val="en-US"/>
        </w:rPr>
        <w:t>5</w:t>
      </w:r>
      <w:r w:rsidR="007F75EA" w:rsidRPr="00B01DE8">
        <w:rPr>
          <w:rFonts w:ascii="Calibri" w:eastAsia="Calibri" w:hAnsi="Calibri" w:cs="Times New Roman"/>
          <w:b/>
          <w:sz w:val="24"/>
          <w:szCs w:val="24"/>
        </w:rPr>
        <w:t xml:space="preserve"> % </w:t>
      </w:r>
      <w:r w:rsidR="00E10648" w:rsidRPr="00B01DE8">
        <w:rPr>
          <w:rFonts w:ascii="Calibri" w:eastAsia="Calibri" w:hAnsi="Calibri" w:cs="Times New Roman"/>
          <w:b/>
          <w:sz w:val="24"/>
          <w:szCs w:val="24"/>
        </w:rPr>
        <w:t>от реално платения размер на безвъзмездната финансова помощ</w:t>
      </w:r>
      <w:r w:rsidR="00200D64" w:rsidRPr="00B01DE8">
        <w:rPr>
          <w:rFonts w:ascii="Calibri" w:eastAsia="Calibri" w:hAnsi="Calibri" w:cs="Times New Roman"/>
          <w:b/>
          <w:sz w:val="24"/>
          <w:szCs w:val="24"/>
          <w:lang w:val="en-US"/>
        </w:rPr>
        <w:t xml:space="preserve"> </w:t>
      </w:r>
      <w:r w:rsidR="007F75EA" w:rsidRPr="00B01DE8">
        <w:rPr>
          <w:rFonts w:ascii="Calibri" w:eastAsia="Calibri" w:hAnsi="Calibri" w:cs="Times New Roman"/>
          <w:b/>
          <w:sz w:val="24"/>
          <w:szCs w:val="24"/>
        </w:rPr>
        <w:t xml:space="preserve">при условията и по реда, посочени в договора за безвъзмездна финансова помощ (Приложение </w:t>
      </w:r>
      <w:r w:rsidR="00180CE5" w:rsidRPr="00B01DE8">
        <w:rPr>
          <w:rFonts w:ascii="Calibri" w:eastAsia="Calibri" w:hAnsi="Calibri" w:cs="Times New Roman"/>
          <w:b/>
          <w:sz w:val="24"/>
          <w:szCs w:val="24"/>
        </w:rPr>
        <w:t>К</w:t>
      </w:r>
      <w:r w:rsidR="007F75EA" w:rsidRPr="00B01DE8">
        <w:rPr>
          <w:rFonts w:ascii="Calibri" w:eastAsia="Calibri" w:hAnsi="Calibri" w:cs="Times New Roman"/>
          <w:b/>
          <w:sz w:val="24"/>
          <w:szCs w:val="24"/>
        </w:rPr>
        <w:t xml:space="preserve"> към настоящите Насоки за кандидатстване).</w:t>
      </w:r>
      <w:r w:rsidR="007F0444" w:rsidRPr="00B01DE8">
        <w:rPr>
          <w:rFonts w:ascii="Calibri" w:eastAsia="Calibri" w:hAnsi="Calibri" w:cs="Times New Roman"/>
          <w:b/>
          <w:sz w:val="24"/>
          <w:szCs w:val="24"/>
        </w:rPr>
        <w:t xml:space="preserve"> </w:t>
      </w:r>
    </w:p>
    <w:p w:rsidR="00C87381" w:rsidRPr="00BD3276" w:rsidRDefault="007F0444" w:rsidP="00430AD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Calibri" w:eastAsia="Calibri" w:hAnsi="Calibri" w:cs="Times New Roman"/>
        </w:rPr>
      </w:pPr>
      <w:r w:rsidRPr="00B01DE8">
        <w:rPr>
          <w:rFonts w:ascii="Calibri" w:eastAsia="Calibri" w:hAnsi="Calibri" w:cs="Times New Roman"/>
          <w:sz w:val="24"/>
          <w:szCs w:val="24"/>
        </w:rPr>
        <w:t>Пример за изчисляване на финансовите корекции, в резултат от неизпълнение на заложените индикатори</w:t>
      </w:r>
      <w:r w:rsidR="00B01DE8" w:rsidRPr="00B01DE8">
        <w:rPr>
          <w:rFonts w:ascii="Calibri" w:eastAsia="Calibri" w:hAnsi="Calibri" w:cs="Times New Roman"/>
          <w:sz w:val="24"/>
          <w:szCs w:val="24"/>
        </w:rPr>
        <w:t xml:space="preserve"> ще бъде </w:t>
      </w:r>
      <w:proofErr w:type="spellStart"/>
      <w:r w:rsidR="00B01DE8" w:rsidRPr="00B01DE8">
        <w:rPr>
          <w:rFonts w:ascii="Calibri" w:eastAsia="Calibri" w:hAnsi="Calibri" w:cs="Times New Roman"/>
          <w:sz w:val="24"/>
          <w:szCs w:val="24"/>
        </w:rPr>
        <w:t>предсотавен</w:t>
      </w:r>
      <w:proofErr w:type="spellEnd"/>
      <w:r w:rsidRPr="00B01DE8">
        <w:rPr>
          <w:rFonts w:ascii="Calibri" w:eastAsia="Calibri" w:hAnsi="Calibri" w:cs="Times New Roman"/>
          <w:sz w:val="24"/>
          <w:szCs w:val="24"/>
        </w:rPr>
        <w:t xml:space="preserve"> в Приложе</w:t>
      </w:r>
      <w:r w:rsidR="001C3262" w:rsidRPr="00B01DE8">
        <w:rPr>
          <w:rFonts w:ascii="Calibri" w:eastAsia="Calibri" w:hAnsi="Calibri" w:cs="Times New Roman"/>
          <w:sz w:val="24"/>
          <w:szCs w:val="24"/>
        </w:rPr>
        <w:t xml:space="preserve">ние </w:t>
      </w:r>
      <w:r w:rsidR="00180CE5" w:rsidRPr="00B01DE8">
        <w:rPr>
          <w:rFonts w:ascii="Calibri" w:eastAsia="Calibri" w:hAnsi="Calibri" w:cs="Times New Roman"/>
          <w:sz w:val="24"/>
          <w:szCs w:val="24"/>
        </w:rPr>
        <w:t>Ч</w:t>
      </w:r>
      <w:r w:rsidRPr="00B01DE8">
        <w:rPr>
          <w:rFonts w:ascii="Calibri" w:eastAsia="Calibri" w:hAnsi="Calibri" w:cs="Times New Roman"/>
          <w:sz w:val="24"/>
          <w:szCs w:val="24"/>
        </w:rPr>
        <w:t>.</w:t>
      </w:r>
    </w:p>
    <w:p w:rsidR="0088542C" w:rsidRPr="00BD3276" w:rsidRDefault="002325A3" w:rsidP="002325A3">
      <w:pPr>
        <w:pStyle w:val="ListParagraph"/>
        <w:spacing w:after="360" w:line="240" w:lineRule="auto"/>
        <w:ind w:left="0"/>
        <w:jc w:val="both"/>
        <w:rPr>
          <w:b/>
          <w:sz w:val="24"/>
          <w:szCs w:val="24"/>
        </w:rPr>
      </w:pPr>
      <w:r w:rsidRPr="00BD3276">
        <w:rPr>
          <w:b/>
          <w:sz w:val="24"/>
          <w:szCs w:val="24"/>
        </w:rPr>
        <w:t xml:space="preserve">           </w:t>
      </w:r>
    </w:p>
    <w:p w:rsidR="002D4B6A" w:rsidRPr="00BD3276" w:rsidRDefault="00CB14EE" w:rsidP="003659D3">
      <w:pPr>
        <w:pStyle w:val="Heading2"/>
      </w:pPr>
      <w:bookmarkStart w:id="32" w:name="_Toc418791463"/>
      <w:r w:rsidRPr="00DA41F4">
        <w:lastRenderedPageBreak/>
        <w:t>2</w:t>
      </w:r>
      <w:r w:rsidR="004A58E5" w:rsidRPr="00DA41F4">
        <w:t>2</w:t>
      </w:r>
      <w:r w:rsidR="002D4B6A" w:rsidRPr="00DA41F4">
        <w:t>.</w:t>
      </w:r>
      <w:r w:rsidR="00F366E3" w:rsidRPr="00DA41F4">
        <w:t xml:space="preserve"> </w:t>
      </w:r>
      <w:r w:rsidR="002D4B6A" w:rsidRPr="00DA41F4">
        <w:t>Начин на подаване на проектните предложения</w:t>
      </w:r>
      <w:r w:rsidR="00752519" w:rsidRPr="00DA41F4">
        <w:t>/концепциите за проектни предложения</w:t>
      </w:r>
      <w:r w:rsidR="002D4B6A" w:rsidRPr="00DA41F4">
        <w:t>:</w:t>
      </w:r>
      <w:bookmarkEnd w:id="32"/>
    </w:p>
    <w:p w:rsidR="00B203CB" w:rsidRPr="00057A06" w:rsidRDefault="0017437B" w:rsidP="00406D3E">
      <w:pPr>
        <w:pBdr>
          <w:top w:val="single" w:sz="4" w:space="1" w:color="auto"/>
          <w:left w:val="single" w:sz="4" w:space="4" w:color="auto"/>
          <w:bottom w:val="single" w:sz="4" w:space="0" w:color="auto"/>
          <w:right w:val="single" w:sz="4" w:space="4" w:color="auto"/>
        </w:pBdr>
        <w:spacing w:after="360" w:line="240" w:lineRule="auto"/>
        <w:jc w:val="both"/>
        <w:rPr>
          <w:b/>
          <w:sz w:val="24"/>
          <w:szCs w:val="24"/>
        </w:rPr>
      </w:pPr>
      <w:r w:rsidRPr="00BD3276">
        <w:rPr>
          <w:sz w:val="24"/>
          <w:szCs w:val="24"/>
        </w:rPr>
        <w:t xml:space="preserve">Подаването на проектното предложение по настоящата процедура се извършва </w:t>
      </w:r>
      <w:r w:rsidR="00C87739">
        <w:rPr>
          <w:sz w:val="24"/>
          <w:szCs w:val="24"/>
        </w:rPr>
        <w:t xml:space="preserve">по изцяло електронен път </w:t>
      </w:r>
      <w:r w:rsidRPr="00BD3276">
        <w:rPr>
          <w:sz w:val="24"/>
          <w:szCs w:val="24"/>
        </w:rPr>
        <w:t>чрез попълване на уеб базиран формуляр за кандидатстване и подаване на формуляра</w:t>
      </w:r>
      <w:r w:rsidR="00C87739">
        <w:rPr>
          <w:sz w:val="24"/>
          <w:szCs w:val="24"/>
        </w:rPr>
        <w:t xml:space="preserve"> и </w:t>
      </w:r>
      <w:proofErr w:type="spellStart"/>
      <w:r w:rsidR="007E4A09">
        <w:rPr>
          <w:sz w:val="24"/>
          <w:szCs w:val="24"/>
        </w:rPr>
        <w:t>придружителните</w:t>
      </w:r>
      <w:proofErr w:type="spellEnd"/>
      <w:r w:rsidR="007E4A09">
        <w:rPr>
          <w:sz w:val="24"/>
          <w:szCs w:val="24"/>
        </w:rPr>
        <w:t xml:space="preserve"> документи</w:t>
      </w:r>
      <w:r w:rsidRPr="00BD3276">
        <w:rPr>
          <w:sz w:val="24"/>
          <w:szCs w:val="24"/>
        </w:rPr>
        <w:t xml:space="preserve"> чрез</w:t>
      </w:r>
      <w:r w:rsidR="000E1D0A" w:rsidRPr="00BD3276">
        <w:rPr>
          <w:b/>
          <w:sz w:val="24"/>
          <w:szCs w:val="24"/>
        </w:rPr>
        <w:t xml:space="preserve"> </w:t>
      </w:r>
      <w:r w:rsidR="00F42183" w:rsidRPr="00BD3276">
        <w:rPr>
          <w:b/>
          <w:sz w:val="24"/>
          <w:szCs w:val="24"/>
        </w:rPr>
        <w:t>Информационната система за управление и наблюдение на Структурните инструменти на ЕС в България (ИСУН 2020)</w:t>
      </w:r>
      <w:r w:rsidR="00FF14AD" w:rsidRPr="00BD3276">
        <w:rPr>
          <w:sz w:val="24"/>
          <w:szCs w:val="24"/>
        </w:rPr>
        <w:t xml:space="preserve"> </w:t>
      </w:r>
      <w:r w:rsidR="00374C93">
        <w:rPr>
          <w:sz w:val="24"/>
          <w:szCs w:val="24"/>
        </w:rPr>
        <w:t xml:space="preserve">единствено </w:t>
      </w:r>
      <w:r w:rsidR="00C87739">
        <w:rPr>
          <w:sz w:val="24"/>
          <w:szCs w:val="24"/>
        </w:rPr>
        <w:t>с</w:t>
      </w:r>
      <w:r w:rsidR="00B203CB" w:rsidRPr="00BD3276">
        <w:rPr>
          <w:sz w:val="24"/>
          <w:szCs w:val="24"/>
        </w:rPr>
        <w:t xml:space="preserve"> </w:t>
      </w:r>
      <w:r w:rsidR="000D2F88">
        <w:rPr>
          <w:sz w:val="24"/>
          <w:szCs w:val="24"/>
        </w:rPr>
        <w:t>използването</w:t>
      </w:r>
      <w:r w:rsidR="00B203CB" w:rsidRPr="00BD3276">
        <w:rPr>
          <w:sz w:val="24"/>
          <w:szCs w:val="24"/>
        </w:rPr>
        <w:t xml:space="preserve"> на </w:t>
      </w:r>
      <w:r w:rsidR="00374C93">
        <w:rPr>
          <w:sz w:val="24"/>
          <w:szCs w:val="24"/>
        </w:rPr>
        <w:t xml:space="preserve">Квалифициран </w:t>
      </w:r>
      <w:r w:rsidR="00B203CB" w:rsidRPr="00BD3276">
        <w:rPr>
          <w:sz w:val="24"/>
          <w:szCs w:val="24"/>
        </w:rPr>
        <w:t>електронен подпис</w:t>
      </w:r>
      <w:r w:rsidR="00374C93">
        <w:rPr>
          <w:sz w:val="24"/>
          <w:szCs w:val="24"/>
        </w:rPr>
        <w:t xml:space="preserve"> (КЕП)</w:t>
      </w:r>
      <w:r w:rsidR="002B1EE7" w:rsidRPr="00BD3276">
        <w:rPr>
          <w:sz w:val="24"/>
          <w:szCs w:val="24"/>
        </w:rPr>
        <w:t>,</w:t>
      </w:r>
      <w:r w:rsidR="00B203CB" w:rsidRPr="00BD3276">
        <w:rPr>
          <w:sz w:val="24"/>
          <w:szCs w:val="24"/>
        </w:rPr>
        <w:t xml:space="preserve"> чрез модула </w:t>
      </w:r>
      <w:r w:rsidR="000E0225" w:rsidRPr="00BD3276">
        <w:rPr>
          <w:sz w:val="24"/>
          <w:szCs w:val="24"/>
        </w:rPr>
        <w:t>„Е-кандидатстване“</w:t>
      </w:r>
      <w:r w:rsidR="00B203CB" w:rsidRPr="00BD3276">
        <w:rPr>
          <w:sz w:val="24"/>
          <w:szCs w:val="24"/>
        </w:rPr>
        <w:t xml:space="preserve"> на следния интернет адрес: </w:t>
      </w:r>
      <w:proofErr w:type="spellStart"/>
      <w:r w:rsidR="00B203CB" w:rsidRPr="00BD3276">
        <w:rPr>
          <w:sz w:val="24"/>
          <w:szCs w:val="24"/>
        </w:rPr>
        <w:t>http</w:t>
      </w:r>
      <w:proofErr w:type="spellEnd"/>
      <w:r w:rsidR="00B9396F">
        <w:rPr>
          <w:sz w:val="24"/>
          <w:szCs w:val="24"/>
          <w:lang w:val="en-US"/>
        </w:rPr>
        <w:t>s</w:t>
      </w:r>
      <w:r w:rsidR="00B203CB" w:rsidRPr="00BD3276">
        <w:rPr>
          <w:sz w:val="24"/>
          <w:szCs w:val="24"/>
        </w:rPr>
        <w:t>://eumis2020.</w:t>
      </w:r>
      <w:proofErr w:type="spellStart"/>
      <w:r w:rsidR="00B203CB" w:rsidRPr="00BD3276">
        <w:rPr>
          <w:sz w:val="24"/>
          <w:szCs w:val="24"/>
        </w:rPr>
        <w:t>government</w:t>
      </w:r>
      <w:proofErr w:type="spellEnd"/>
      <w:r w:rsidR="00B203CB" w:rsidRPr="00BD3276">
        <w:rPr>
          <w:sz w:val="24"/>
          <w:szCs w:val="24"/>
        </w:rPr>
        <w:t>.</w:t>
      </w:r>
      <w:proofErr w:type="spellStart"/>
      <w:r w:rsidR="00B203CB" w:rsidRPr="00BD3276">
        <w:rPr>
          <w:sz w:val="24"/>
          <w:szCs w:val="24"/>
        </w:rPr>
        <w:t>bg</w:t>
      </w:r>
      <w:proofErr w:type="spellEnd"/>
      <w:r w:rsidR="00B203CB" w:rsidRPr="00BD3276">
        <w:rPr>
          <w:sz w:val="24"/>
          <w:szCs w:val="24"/>
        </w:rPr>
        <w:t>.</w:t>
      </w:r>
    </w:p>
    <w:p w:rsidR="000E0225" w:rsidRPr="00BD3276" w:rsidRDefault="000E0225" w:rsidP="00406D3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BD3276">
        <w:rPr>
          <w:sz w:val="24"/>
          <w:szCs w:val="24"/>
        </w:rPr>
        <w:t>Подготовката</w:t>
      </w:r>
      <w:r w:rsidR="00C32F49" w:rsidRPr="00BD3276">
        <w:rPr>
          <w:sz w:val="24"/>
          <w:szCs w:val="24"/>
        </w:rPr>
        <w:t xml:space="preserve"> и </w:t>
      </w:r>
      <w:r w:rsidRPr="00BD3276">
        <w:rPr>
          <w:sz w:val="24"/>
          <w:szCs w:val="24"/>
        </w:rPr>
        <w:t xml:space="preserve">подаването на </w:t>
      </w:r>
      <w:r w:rsidR="00A67675">
        <w:rPr>
          <w:sz w:val="24"/>
          <w:szCs w:val="24"/>
        </w:rPr>
        <w:t>проектното предложение</w:t>
      </w:r>
      <w:r w:rsidRPr="00BD3276">
        <w:rPr>
          <w:sz w:val="24"/>
          <w:szCs w:val="24"/>
        </w:rPr>
        <w:t xml:space="preserve"> в ИСУН 2020 се извършва по следния начин: Кандидатът влиза в ИСУН 2020</w:t>
      </w:r>
      <w:r w:rsidR="008C07DE" w:rsidRPr="00BD3276">
        <w:rPr>
          <w:sz w:val="24"/>
          <w:szCs w:val="24"/>
        </w:rPr>
        <w:t>,</w:t>
      </w:r>
      <w:r w:rsidRPr="00BD3276">
        <w:rPr>
          <w:sz w:val="24"/>
          <w:szCs w:val="24"/>
        </w:rPr>
        <w:t xml:space="preserve"> след регистрация чрез имейл и парола</w:t>
      </w:r>
      <w:r w:rsidR="008C07DE" w:rsidRPr="00BD3276">
        <w:rPr>
          <w:sz w:val="24"/>
          <w:szCs w:val="24"/>
        </w:rPr>
        <w:t>,</w:t>
      </w:r>
      <w:r w:rsidRPr="00BD3276">
        <w:rPr>
          <w:sz w:val="24"/>
          <w:szCs w:val="24"/>
        </w:rPr>
        <w:t xml:space="preserve">  избира </w:t>
      </w:r>
      <w:r w:rsidR="00C32F49" w:rsidRPr="00BD3276">
        <w:rPr>
          <w:sz w:val="24"/>
          <w:szCs w:val="24"/>
        </w:rPr>
        <w:t xml:space="preserve">настоящата </w:t>
      </w:r>
      <w:r w:rsidRPr="00BD3276">
        <w:rPr>
          <w:sz w:val="24"/>
          <w:szCs w:val="24"/>
        </w:rPr>
        <w:t>процедура за кандидатстване от „Отворени процедури“и създава ново проектно предложение.</w:t>
      </w:r>
    </w:p>
    <w:p w:rsidR="00C32F49" w:rsidRPr="00BD3276" w:rsidRDefault="003B352D" w:rsidP="00406D3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Pr>
          <w:sz w:val="24"/>
          <w:szCs w:val="24"/>
        </w:rPr>
        <w:t>Проектното предложение</w:t>
      </w:r>
      <w:r w:rsidR="007668C0" w:rsidRPr="00BD3276">
        <w:rPr>
          <w:sz w:val="24"/>
          <w:szCs w:val="24"/>
        </w:rPr>
        <w:t xml:space="preserve"> </w:t>
      </w:r>
      <w:r w:rsidR="00C32F49" w:rsidRPr="00BD3276">
        <w:rPr>
          <w:sz w:val="24"/>
          <w:szCs w:val="24"/>
        </w:rPr>
        <w:t>по настоящата</w:t>
      </w:r>
      <w:r w:rsidR="007668C0" w:rsidRPr="00BD3276">
        <w:rPr>
          <w:sz w:val="24"/>
          <w:szCs w:val="24"/>
        </w:rPr>
        <w:t xml:space="preserve"> процедура</w:t>
      </w:r>
      <w:r w:rsidR="001A48F7" w:rsidRPr="00BD3276">
        <w:rPr>
          <w:sz w:val="24"/>
          <w:szCs w:val="24"/>
        </w:rPr>
        <w:t xml:space="preserve"> се </w:t>
      </w:r>
      <w:r>
        <w:rPr>
          <w:sz w:val="24"/>
          <w:szCs w:val="24"/>
        </w:rPr>
        <w:t>изготвя</w:t>
      </w:r>
      <w:r w:rsidR="001A48F7" w:rsidRPr="00BD3276">
        <w:rPr>
          <w:sz w:val="24"/>
          <w:szCs w:val="24"/>
        </w:rPr>
        <w:t xml:space="preserve"> от </w:t>
      </w:r>
      <w:r w:rsidR="001A48F7" w:rsidRPr="00195F7F">
        <w:rPr>
          <w:sz w:val="24"/>
          <w:szCs w:val="24"/>
        </w:rPr>
        <w:t>кандидата</w:t>
      </w:r>
      <w:r w:rsidR="007668C0" w:rsidRPr="00195F7F">
        <w:rPr>
          <w:sz w:val="24"/>
          <w:szCs w:val="24"/>
        </w:rPr>
        <w:t xml:space="preserve">, </w:t>
      </w:r>
      <w:r w:rsidR="001A48F7" w:rsidRPr="00195F7F">
        <w:rPr>
          <w:sz w:val="24"/>
          <w:szCs w:val="24"/>
        </w:rPr>
        <w:t>съгласно</w:t>
      </w:r>
      <w:r w:rsidR="007668C0" w:rsidRPr="00195F7F">
        <w:rPr>
          <w:sz w:val="24"/>
          <w:szCs w:val="24"/>
        </w:rPr>
        <w:t xml:space="preserve"> инструкциите на УО</w:t>
      </w:r>
      <w:r w:rsidR="00351218">
        <w:rPr>
          <w:sz w:val="24"/>
          <w:szCs w:val="24"/>
        </w:rPr>
        <w:t>,</w:t>
      </w:r>
      <w:r w:rsidR="007668C0" w:rsidRPr="00195F7F">
        <w:rPr>
          <w:sz w:val="24"/>
          <w:szCs w:val="24"/>
        </w:rPr>
        <w:t xml:space="preserve"> </w:t>
      </w:r>
      <w:r w:rsidR="009C6BB7" w:rsidRPr="00195F7F">
        <w:rPr>
          <w:sz w:val="24"/>
          <w:szCs w:val="24"/>
        </w:rPr>
        <w:t xml:space="preserve">дадени в </w:t>
      </w:r>
      <w:r w:rsidR="00E948B5" w:rsidRPr="00195F7F">
        <w:rPr>
          <w:sz w:val="24"/>
          <w:szCs w:val="24"/>
        </w:rPr>
        <w:t>У</w:t>
      </w:r>
      <w:r w:rsidR="009C6BB7" w:rsidRPr="00195F7F">
        <w:rPr>
          <w:sz w:val="24"/>
          <w:szCs w:val="24"/>
        </w:rPr>
        <w:t xml:space="preserve">казанията </w:t>
      </w:r>
      <w:r w:rsidR="007668C0" w:rsidRPr="00195F7F">
        <w:rPr>
          <w:sz w:val="24"/>
          <w:szCs w:val="24"/>
        </w:rPr>
        <w:t xml:space="preserve">за </w:t>
      </w:r>
      <w:r w:rsidR="00A67675" w:rsidRPr="00195F7F">
        <w:rPr>
          <w:sz w:val="24"/>
          <w:szCs w:val="24"/>
        </w:rPr>
        <w:t>електронно</w:t>
      </w:r>
      <w:r w:rsidR="006976D6" w:rsidRPr="00195F7F">
        <w:rPr>
          <w:sz w:val="24"/>
          <w:szCs w:val="24"/>
        </w:rPr>
        <w:t xml:space="preserve"> кандидатстване</w:t>
      </w:r>
      <w:r w:rsidR="009C6BB7" w:rsidRPr="00195F7F">
        <w:rPr>
          <w:sz w:val="24"/>
          <w:szCs w:val="24"/>
        </w:rPr>
        <w:t xml:space="preserve"> </w:t>
      </w:r>
      <w:r w:rsidR="00A97CAB" w:rsidRPr="00195F7F">
        <w:rPr>
          <w:sz w:val="24"/>
          <w:szCs w:val="24"/>
        </w:rPr>
        <w:t>(</w:t>
      </w:r>
      <w:r w:rsidR="009C6BB7" w:rsidRPr="00195F7F">
        <w:rPr>
          <w:sz w:val="24"/>
          <w:szCs w:val="24"/>
        </w:rPr>
        <w:t xml:space="preserve">Приложение </w:t>
      </w:r>
      <w:r w:rsidR="00462EC7" w:rsidRPr="00195F7F">
        <w:rPr>
          <w:sz w:val="24"/>
          <w:szCs w:val="24"/>
        </w:rPr>
        <w:t>А</w:t>
      </w:r>
      <w:r w:rsidR="009C6BB7" w:rsidRPr="00BD3276">
        <w:rPr>
          <w:sz w:val="24"/>
          <w:szCs w:val="24"/>
        </w:rPr>
        <w:t xml:space="preserve"> към настоящите насоки за кандидатстване</w:t>
      </w:r>
      <w:r w:rsidR="00A97CAB" w:rsidRPr="00BD3276">
        <w:rPr>
          <w:sz w:val="24"/>
          <w:szCs w:val="24"/>
        </w:rPr>
        <w:t>)</w:t>
      </w:r>
      <w:r w:rsidR="007668C0" w:rsidRPr="00BD3276">
        <w:rPr>
          <w:sz w:val="24"/>
          <w:szCs w:val="24"/>
        </w:rPr>
        <w:t xml:space="preserve">. </w:t>
      </w:r>
    </w:p>
    <w:p w:rsidR="00AC6C84" w:rsidRPr="00BD3276" w:rsidRDefault="001610D6" w:rsidP="00406D3E">
      <w:pPr>
        <w:pBdr>
          <w:top w:val="single" w:sz="4" w:space="1" w:color="auto"/>
          <w:left w:val="single" w:sz="4" w:space="4" w:color="auto"/>
          <w:bottom w:val="single" w:sz="4" w:space="0" w:color="auto"/>
          <w:right w:val="single" w:sz="4" w:space="4" w:color="auto"/>
        </w:pBdr>
        <w:spacing w:after="120" w:line="240" w:lineRule="auto"/>
        <w:jc w:val="both"/>
        <w:rPr>
          <w:sz w:val="24"/>
          <w:szCs w:val="24"/>
        </w:rPr>
      </w:pPr>
      <w:r w:rsidRPr="00BD3276">
        <w:rPr>
          <w:b/>
          <w:sz w:val="24"/>
          <w:szCs w:val="24"/>
        </w:rPr>
        <w:t>Изискващите се съгласно т. 23 от Насоките за кандидатстване</w:t>
      </w:r>
      <w:r w:rsidRPr="00BD3276" w:rsidDel="001610D6">
        <w:rPr>
          <w:b/>
          <w:sz w:val="24"/>
          <w:szCs w:val="24"/>
        </w:rPr>
        <w:t xml:space="preserve"> </w:t>
      </w:r>
      <w:proofErr w:type="spellStart"/>
      <w:r w:rsidR="005933F1" w:rsidRPr="00BD3276">
        <w:rPr>
          <w:b/>
          <w:sz w:val="24"/>
          <w:szCs w:val="24"/>
        </w:rPr>
        <w:t>придружителни</w:t>
      </w:r>
      <w:proofErr w:type="spellEnd"/>
      <w:r w:rsidR="007668C0" w:rsidRPr="00BD3276">
        <w:rPr>
          <w:b/>
          <w:sz w:val="24"/>
          <w:szCs w:val="24"/>
        </w:rPr>
        <w:t xml:space="preserve"> документи</w:t>
      </w:r>
      <w:r w:rsidR="007668C0" w:rsidRPr="00BD3276">
        <w:rPr>
          <w:sz w:val="24"/>
          <w:szCs w:val="24"/>
        </w:rPr>
        <w:t xml:space="preserve"> към формуляра</w:t>
      </w:r>
      <w:r w:rsidRPr="00BD3276">
        <w:rPr>
          <w:sz w:val="24"/>
          <w:szCs w:val="24"/>
        </w:rPr>
        <w:t xml:space="preserve"> за кандидатстване</w:t>
      </w:r>
      <w:r w:rsidR="005933F1" w:rsidRPr="00BD3276">
        <w:rPr>
          <w:sz w:val="24"/>
          <w:szCs w:val="24"/>
        </w:rPr>
        <w:t xml:space="preserve"> </w:t>
      </w:r>
      <w:r w:rsidR="00B82BB7">
        <w:rPr>
          <w:sz w:val="24"/>
          <w:szCs w:val="24"/>
        </w:rPr>
        <w:t xml:space="preserve">също </w:t>
      </w:r>
      <w:r w:rsidR="005933F1" w:rsidRPr="00BD3276">
        <w:rPr>
          <w:b/>
          <w:sz w:val="24"/>
          <w:szCs w:val="24"/>
        </w:rPr>
        <w:t xml:space="preserve">се подават </w:t>
      </w:r>
      <w:r w:rsidR="00B82BB7">
        <w:rPr>
          <w:b/>
          <w:sz w:val="24"/>
          <w:szCs w:val="24"/>
        </w:rPr>
        <w:t>изцяло електронно</w:t>
      </w:r>
      <w:r w:rsidR="007668C0" w:rsidRPr="00BD3276">
        <w:rPr>
          <w:sz w:val="24"/>
          <w:szCs w:val="24"/>
        </w:rPr>
        <w:t xml:space="preserve">. </w:t>
      </w:r>
      <w:r w:rsidR="00B4073D" w:rsidRPr="00BD3276">
        <w:rPr>
          <w:sz w:val="24"/>
          <w:szCs w:val="24"/>
        </w:rPr>
        <w:t>Посочените документи се описват в т. 12 от Формуляра преди подаването му.</w:t>
      </w:r>
    </w:p>
    <w:p w:rsidR="00CF5DA0" w:rsidRDefault="005933F1"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Всички документи се </w:t>
      </w:r>
      <w:r w:rsidR="009253F4" w:rsidRPr="00BD3276">
        <w:rPr>
          <w:sz w:val="24"/>
          <w:szCs w:val="24"/>
        </w:rPr>
        <w:t xml:space="preserve">представят </w:t>
      </w:r>
      <w:r w:rsidRPr="00BD3276">
        <w:rPr>
          <w:sz w:val="24"/>
          <w:szCs w:val="24"/>
        </w:rPr>
        <w:t xml:space="preserve">на български език без корекции. Документ, чийто </w:t>
      </w:r>
      <w:r w:rsidRPr="00406D3E">
        <w:rPr>
          <w:sz w:val="24"/>
          <w:szCs w:val="24"/>
        </w:rPr>
        <w:t>оригинал е на чужд език, се представя и в превод на български език.</w:t>
      </w:r>
      <w:r w:rsidR="00000B14" w:rsidRPr="00406D3E">
        <w:rPr>
          <w:sz w:val="24"/>
          <w:szCs w:val="24"/>
        </w:rPr>
        <w:t xml:space="preserve"> </w:t>
      </w:r>
    </w:p>
    <w:p w:rsidR="00B47EFC" w:rsidRDefault="00E5389A"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E5389A">
        <w:rPr>
          <w:b/>
          <w:sz w:val="24"/>
          <w:szCs w:val="24"/>
        </w:rPr>
        <w:t>Важно:</w:t>
      </w:r>
      <w:r>
        <w:rPr>
          <w:sz w:val="24"/>
          <w:szCs w:val="24"/>
        </w:rPr>
        <w:t xml:space="preserve"> </w:t>
      </w:r>
      <w:r w:rsidR="00B47EFC" w:rsidRPr="00B47EFC">
        <w:rPr>
          <w:sz w:val="24"/>
          <w:szCs w:val="24"/>
        </w:rPr>
        <w:t>Проектното предложение се подава електронно чрез ИСУН 2020, като се подписва с КЕП от лице с право да представлява кандидата</w:t>
      </w:r>
      <w:r w:rsidR="00C50B83">
        <w:rPr>
          <w:rStyle w:val="FootnoteReference"/>
          <w:sz w:val="24"/>
          <w:szCs w:val="24"/>
        </w:rPr>
        <w:footnoteReference w:id="25"/>
      </w:r>
      <w:r w:rsidR="00B47EFC" w:rsidRPr="00B47EFC">
        <w:rPr>
          <w:sz w:val="24"/>
          <w:szCs w:val="24"/>
        </w:rPr>
        <w:t>. В случаите, когато кандидатът се представлява заедно от някол</w:t>
      </w:r>
      <w:r w:rsidR="00B47EFC">
        <w:rPr>
          <w:sz w:val="24"/>
          <w:szCs w:val="24"/>
        </w:rPr>
        <w:t>ко физически лица, проектното предложение</w:t>
      </w:r>
      <w:r w:rsidR="00B47EFC" w:rsidRPr="00B47EFC">
        <w:rPr>
          <w:sz w:val="24"/>
          <w:szCs w:val="24"/>
        </w:rPr>
        <w:t xml:space="preserve"> се подписва от всяко от тях</w:t>
      </w:r>
      <w:r>
        <w:rPr>
          <w:sz w:val="24"/>
          <w:szCs w:val="24"/>
        </w:rPr>
        <w:t xml:space="preserve"> при подаването.</w:t>
      </w:r>
    </w:p>
    <w:p w:rsidR="00E158B1" w:rsidRPr="00FA335E" w:rsidRDefault="00E158B1"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3E5643">
        <w:rPr>
          <w:sz w:val="24"/>
          <w:szCs w:val="24"/>
        </w:rPr>
        <w:t>Моля</w:t>
      </w:r>
      <w:r>
        <w:rPr>
          <w:sz w:val="24"/>
          <w:szCs w:val="24"/>
        </w:rPr>
        <w:t>, обърнете внимание</w:t>
      </w:r>
      <w:r w:rsidRPr="003E5643">
        <w:rPr>
          <w:sz w:val="24"/>
          <w:szCs w:val="24"/>
        </w:rPr>
        <w:t xml:space="preserve">, че проектно предложение </w:t>
      </w:r>
      <w:r>
        <w:rPr>
          <w:sz w:val="24"/>
          <w:szCs w:val="24"/>
        </w:rPr>
        <w:t xml:space="preserve">е препоръчително да </w:t>
      </w:r>
      <w:r w:rsidRPr="003E5643">
        <w:rPr>
          <w:sz w:val="24"/>
          <w:szCs w:val="24"/>
        </w:rPr>
        <w:t>се подава винаги от профила на ка</w:t>
      </w:r>
      <w:r>
        <w:rPr>
          <w:sz w:val="24"/>
          <w:szCs w:val="24"/>
        </w:rPr>
        <w:t>ндидата, не от друг профил, тъй като</w:t>
      </w:r>
      <w:r w:rsidRPr="003E5643">
        <w:rPr>
          <w:sz w:val="24"/>
          <w:szCs w:val="24"/>
        </w:rPr>
        <w:t xml:space="preserve"> впоследствие ще </w:t>
      </w:r>
      <w:r>
        <w:rPr>
          <w:sz w:val="24"/>
          <w:szCs w:val="24"/>
        </w:rPr>
        <w:t>бъде използван</w:t>
      </w:r>
      <w:r w:rsidRPr="003E5643">
        <w:rPr>
          <w:sz w:val="24"/>
          <w:szCs w:val="24"/>
        </w:rPr>
        <w:t xml:space="preserve"> именно този профил за комуникация с Управляващия орган и за отстраняване </w:t>
      </w:r>
      <w:r w:rsidRPr="00FA335E">
        <w:rPr>
          <w:sz w:val="24"/>
          <w:szCs w:val="24"/>
        </w:rPr>
        <w:t>на забелязани неточности по време на оценката на проектните предложения.</w:t>
      </w:r>
    </w:p>
    <w:p w:rsidR="000E1D0A" w:rsidRPr="00BD3276" w:rsidRDefault="007668C0"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FA335E">
        <w:rPr>
          <w:sz w:val="24"/>
          <w:szCs w:val="24"/>
        </w:rPr>
        <w:t>До приключването на работата на оценителната комисия кандидатът има възможност да оттегли своето проектно предложение като подаде писмено искане в УО, като това обстоятелство се отбелязва от потребител на ИСУН</w:t>
      </w:r>
      <w:r w:rsidR="00AB0752" w:rsidRPr="00FA335E">
        <w:rPr>
          <w:sz w:val="24"/>
          <w:szCs w:val="24"/>
        </w:rPr>
        <w:t xml:space="preserve"> от УО</w:t>
      </w:r>
      <w:r w:rsidRPr="00FA335E">
        <w:rPr>
          <w:sz w:val="24"/>
          <w:szCs w:val="24"/>
        </w:rPr>
        <w:t xml:space="preserve"> със съответните права.</w:t>
      </w:r>
      <w:r w:rsidR="000E1D0A" w:rsidRPr="00FA335E">
        <w:rPr>
          <w:sz w:val="24"/>
          <w:szCs w:val="24"/>
        </w:rPr>
        <w:t>Следва</w:t>
      </w:r>
      <w:r w:rsidR="000E1D0A" w:rsidRPr="00BD3276">
        <w:rPr>
          <w:sz w:val="24"/>
          <w:szCs w:val="24"/>
        </w:rPr>
        <w:t xml:space="preserve"> да се има предвид, че Формулярът за кандидатстване представлява и заявление за помощ по </w:t>
      </w:r>
      <w:r w:rsidR="006D739C" w:rsidRPr="00BD3276">
        <w:rPr>
          <w:sz w:val="24"/>
          <w:szCs w:val="24"/>
        </w:rPr>
        <w:t>смисъла на разпоредбите на чл. 6</w:t>
      </w:r>
      <w:r w:rsidR="000E1D0A" w:rsidRPr="00BD3276">
        <w:rPr>
          <w:sz w:val="24"/>
          <w:szCs w:val="24"/>
        </w:rPr>
        <w:t xml:space="preserve">, параграф 2 на </w:t>
      </w:r>
      <w:r w:rsidR="006D739C" w:rsidRPr="00BD3276">
        <w:rPr>
          <w:sz w:val="24"/>
          <w:szCs w:val="24"/>
        </w:rPr>
        <w:t>Регламент на Комисията (ЕС) № 651/2014</w:t>
      </w:r>
      <w:r w:rsidR="00FA0A4E" w:rsidRPr="00BD3276">
        <w:rPr>
          <w:sz w:val="24"/>
          <w:szCs w:val="24"/>
        </w:rPr>
        <w:t xml:space="preserve"> и има за цел и потвърждаване на съответствие с условията на посочената разпоредба</w:t>
      </w:r>
      <w:r w:rsidR="000E1D0A" w:rsidRPr="00BD3276">
        <w:rPr>
          <w:sz w:val="24"/>
          <w:szCs w:val="24"/>
        </w:rPr>
        <w:t>.</w:t>
      </w:r>
    </w:p>
    <w:p w:rsidR="009008C3" w:rsidRPr="00BD3276" w:rsidRDefault="000E1D0A"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Моля</w:t>
      </w:r>
      <w:r w:rsidR="004F7843">
        <w:rPr>
          <w:sz w:val="24"/>
          <w:szCs w:val="24"/>
        </w:rPr>
        <w:t>,</w:t>
      </w:r>
      <w:r w:rsidRPr="00BD3276">
        <w:rPr>
          <w:sz w:val="24"/>
          <w:szCs w:val="24"/>
        </w:rPr>
        <w:t xml:space="preserve"> обърнете внимание, че сам</w:t>
      </w:r>
      <w:r w:rsidR="00AA2855" w:rsidRPr="00BD3276">
        <w:rPr>
          <w:sz w:val="24"/>
          <w:szCs w:val="24"/>
        </w:rPr>
        <w:t xml:space="preserve">о Формулярът за кандидатстване </w:t>
      </w:r>
      <w:r w:rsidRPr="00BD3276">
        <w:rPr>
          <w:sz w:val="24"/>
          <w:szCs w:val="24"/>
        </w:rPr>
        <w:t xml:space="preserve">и изискуемите </w:t>
      </w:r>
      <w:r w:rsidR="00D32748" w:rsidRPr="00BD3276">
        <w:rPr>
          <w:sz w:val="24"/>
          <w:szCs w:val="24"/>
        </w:rPr>
        <w:t xml:space="preserve">на етап кандидатстване </w:t>
      </w:r>
      <w:r w:rsidRPr="00BD3276">
        <w:rPr>
          <w:sz w:val="24"/>
          <w:szCs w:val="24"/>
        </w:rPr>
        <w:t xml:space="preserve">документи ще бъдат оценявани. Затова, изключително важно е тези документи да съдържат </w:t>
      </w:r>
      <w:r w:rsidR="00DB5F07" w:rsidRPr="00BD3276">
        <w:rPr>
          <w:sz w:val="24"/>
          <w:szCs w:val="24"/>
        </w:rPr>
        <w:t>цялата</w:t>
      </w:r>
      <w:r w:rsidRPr="00BD3276">
        <w:rPr>
          <w:sz w:val="24"/>
          <w:szCs w:val="24"/>
        </w:rPr>
        <w:t xml:space="preserve"> необходима информация.</w:t>
      </w:r>
    </w:p>
    <w:p w:rsidR="00132D5C" w:rsidRPr="00BD3276" w:rsidRDefault="00132D5C" w:rsidP="00132D5C">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lastRenderedPageBreak/>
        <w:t xml:space="preserve">При съставянето на </w:t>
      </w:r>
      <w:r w:rsidR="00AB0752" w:rsidRPr="00BD3276">
        <w:rPr>
          <w:sz w:val="24"/>
          <w:szCs w:val="24"/>
        </w:rPr>
        <w:t xml:space="preserve">т. 5 „Бюджет“ от </w:t>
      </w:r>
      <w:r w:rsidR="000E0667" w:rsidRPr="00BD3276">
        <w:rPr>
          <w:sz w:val="24"/>
          <w:szCs w:val="24"/>
        </w:rPr>
        <w:t>Ф</w:t>
      </w:r>
      <w:r w:rsidR="00AB0752" w:rsidRPr="00BD3276">
        <w:rPr>
          <w:sz w:val="24"/>
          <w:szCs w:val="24"/>
        </w:rPr>
        <w:t>ормуляр</w:t>
      </w:r>
      <w:r w:rsidR="000E0667" w:rsidRPr="00BD3276">
        <w:rPr>
          <w:sz w:val="24"/>
          <w:szCs w:val="24"/>
        </w:rPr>
        <w:t>а</w:t>
      </w:r>
      <w:r w:rsidR="00AB0752" w:rsidRPr="00BD3276">
        <w:rPr>
          <w:sz w:val="24"/>
          <w:szCs w:val="24"/>
        </w:rPr>
        <w:t xml:space="preserve"> за кандидатстване</w:t>
      </w:r>
      <w:r w:rsidR="00B25A69" w:rsidRPr="00BD3276">
        <w:rPr>
          <w:sz w:val="24"/>
          <w:szCs w:val="24"/>
        </w:rPr>
        <w:t xml:space="preserve"> </w:t>
      </w:r>
      <w:r w:rsidRPr="00BD3276">
        <w:rPr>
          <w:sz w:val="24"/>
          <w:szCs w:val="24"/>
        </w:rPr>
        <w:t>следва да се има предвид, че той ще бъде разходван като се спазват правилата на приложимото национално законодателство, както следва:</w:t>
      </w:r>
    </w:p>
    <w:p w:rsidR="00132D5C" w:rsidRPr="00BD3276" w:rsidRDefault="00132D5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002E3EFA" w:rsidRPr="00BD3276">
        <w:rPr>
          <w:sz w:val="24"/>
          <w:szCs w:val="24"/>
        </w:rPr>
        <w:t>Б</w:t>
      </w:r>
      <w:r w:rsidRPr="00BD3276">
        <w:rPr>
          <w:sz w:val="24"/>
          <w:szCs w:val="24"/>
        </w:rPr>
        <w:t xml:space="preserve">енефициентите, които не се явяват възложители по ЗОП прилагат </w:t>
      </w:r>
      <w:r w:rsidR="002E3EFA" w:rsidRPr="00BD3276">
        <w:rPr>
          <w:sz w:val="24"/>
          <w:szCs w:val="24"/>
        </w:rPr>
        <w:t>ПМС № 118/20.05.2014 за условията и реда за определяне на изпълнител от страна на бенефициенти на безвъзмездна финансова помощ</w:t>
      </w:r>
      <w:r w:rsidRPr="00BD3276">
        <w:rPr>
          <w:sz w:val="24"/>
          <w:szCs w:val="24"/>
        </w:rPr>
        <w:t>;</w:t>
      </w:r>
    </w:p>
    <w:p w:rsidR="00132D5C" w:rsidRPr="00BD3276" w:rsidRDefault="00132D5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Закон за обществените поръчки и актовете по неговото прилагане.</w:t>
      </w:r>
    </w:p>
    <w:p w:rsidR="00132D5C" w:rsidRPr="00BD3276" w:rsidRDefault="00132D5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rsidR="009253F4" w:rsidRPr="00BD3276" w:rsidRDefault="00132D5C" w:rsidP="009253F4">
      <w:pPr>
        <w:pBdr>
          <w:top w:val="single" w:sz="4" w:space="1" w:color="auto"/>
          <w:left w:val="single" w:sz="4" w:space="4" w:color="auto"/>
          <w:bottom w:val="single" w:sz="4" w:space="1" w:color="auto"/>
          <w:right w:val="single" w:sz="4" w:space="4" w:color="auto"/>
        </w:pBdr>
        <w:spacing w:after="240" w:line="240" w:lineRule="auto"/>
        <w:jc w:val="both"/>
        <w:rPr>
          <w:sz w:val="24"/>
          <w:szCs w:val="24"/>
        </w:rPr>
      </w:pPr>
      <w:r w:rsidRPr="00BD3276">
        <w:rPr>
          <w:sz w:val="24"/>
          <w:szCs w:val="24"/>
        </w:rPr>
        <w:t xml:space="preserve">Кандидатът носи цялата отговорност за верността на финансовата информация, представена в </w:t>
      </w:r>
      <w:r w:rsidR="00F94597" w:rsidRPr="00BD3276">
        <w:rPr>
          <w:sz w:val="24"/>
          <w:szCs w:val="24"/>
        </w:rPr>
        <w:t>т. 5 „Б</w:t>
      </w:r>
      <w:r w:rsidRPr="00BD3276">
        <w:rPr>
          <w:sz w:val="24"/>
          <w:szCs w:val="24"/>
        </w:rPr>
        <w:t>юджет</w:t>
      </w:r>
      <w:r w:rsidR="00F94597" w:rsidRPr="00BD3276">
        <w:rPr>
          <w:sz w:val="24"/>
          <w:szCs w:val="24"/>
        </w:rPr>
        <w:t xml:space="preserve">“ от </w:t>
      </w:r>
      <w:r w:rsidR="00313B3D" w:rsidRPr="00BD3276">
        <w:rPr>
          <w:sz w:val="24"/>
          <w:szCs w:val="24"/>
        </w:rPr>
        <w:t>Ф</w:t>
      </w:r>
      <w:r w:rsidR="00F94597" w:rsidRPr="00BD3276">
        <w:rPr>
          <w:sz w:val="24"/>
          <w:szCs w:val="24"/>
        </w:rPr>
        <w:t>ормуляр</w:t>
      </w:r>
      <w:r w:rsidR="00313B3D" w:rsidRPr="00BD3276">
        <w:rPr>
          <w:sz w:val="24"/>
          <w:szCs w:val="24"/>
        </w:rPr>
        <w:t>а</w:t>
      </w:r>
      <w:r w:rsidR="00F94597" w:rsidRPr="00BD3276">
        <w:rPr>
          <w:sz w:val="24"/>
          <w:szCs w:val="24"/>
        </w:rPr>
        <w:t xml:space="preserve"> за кандидатстване</w:t>
      </w:r>
      <w:r w:rsidRPr="00BD3276">
        <w:rPr>
          <w:sz w:val="24"/>
          <w:szCs w:val="24"/>
        </w:rPr>
        <w:t>.</w:t>
      </w:r>
    </w:p>
    <w:p w:rsidR="004A58E5" w:rsidRPr="006E7D2F" w:rsidRDefault="004A58E5" w:rsidP="006E7D2F">
      <w:pPr>
        <w:pStyle w:val="ListParagraph"/>
        <w:spacing w:after="0" w:line="240" w:lineRule="auto"/>
        <w:ind w:left="0"/>
        <w:jc w:val="both"/>
        <w:rPr>
          <w:b/>
          <w:sz w:val="10"/>
          <w:szCs w:val="10"/>
        </w:rPr>
      </w:pPr>
      <w:r w:rsidRPr="006E7D2F">
        <w:rPr>
          <w:b/>
          <w:sz w:val="10"/>
          <w:szCs w:val="10"/>
        </w:rPr>
        <w:t xml:space="preserve">  </w:t>
      </w:r>
    </w:p>
    <w:p w:rsidR="004A58E5" w:rsidRPr="00BD3276" w:rsidRDefault="004A58E5" w:rsidP="003659D3">
      <w:pPr>
        <w:pStyle w:val="Heading2"/>
      </w:pPr>
      <w:bookmarkStart w:id="33" w:name="_Toc418791464"/>
      <w:r w:rsidRPr="00BD3276">
        <w:t>23. Списък на документите, които се подават на етап кандидатстване:</w:t>
      </w:r>
      <w:bookmarkEnd w:id="33"/>
    </w:p>
    <w:p w:rsidR="001C5D96" w:rsidRDefault="00AA2855"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Кандидатите по процедурата за безвъзмездна финансова помощ следва да представят следните документи</w:t>
      </w:r>
      <w:r w:rsidR="00127237">
        <w:rPr>
          <w:sz w:val="24"/>
          <w:szCs w:val="24"/>
        </w:rPr>
        <w:t>, по изцяло електронен път чрез ИСУН 2020 с помощта на КЕП</w:t>
      </w:r>
      <w:r w:rsidRPr="00BD3276">
        <w:rPr>
          <w:sz w:val="24"/>
          <w:szCs w:val="24"/>
        </w:rPr>
        <w:t>:</w:t>
      </w:r>
    </w:p>
    <w:p w:rsidR="00510ACF" w:rsidRDefault="00510ACF"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510ACF" w:rsidRPr="00510ACF" w:rsidRDefault="00510ACF"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Pr>
          <w:b/>
          <w:sz w:val="24"/>
          <w:szCs w:val="24"/>
        </w:rPr>
        <w:t xml:space="preserve">ВАЖНО: </w:t>
      </w:r>
      <w:r w:rsidRPr="00783038">
        <w:rPr>
          <w:sz w:val="24"/>
          <w:szCs w:val="24"/>
        </w:rPr>
        <w:t>За целите на настоящите Насоки под „лице с право да представлява кандидата“ следва да се разбира официален представител на предприятието-кандидат</w:t>
      </w:r>
      <w:r w:rsidR="00783038" w:rsidRPr="00783038">
        <w:rPr>
          <w:sz w:val="24"/>
          <w:szCs w:val="24"/>
        </w:rPr>
        <w:t xml:space="preserve">, като  документите, които се подават на етап кандидатстване, </w:t>
      </w:r>
      <w:r w:rsidR="00783038" w:rsidRPr="00783038">
        <w:rPr>
          <w:b/>
          <w:sz w:val="24"/>
          <w:szCs w:val="24"/>
        </w:rPr>
        <w:t>не могат да се подписват с КЕП</w:t>
      </w:r>
      <w:r w:rsidRPr="00783038">
        <w:rPr>
          <w:sz w:val="24"/>
          <w:szCs w:val="24"/>
        </w:rPr>
        <w:t xml:space="preserve"> от упълномощени лица.</w:t>
      </w:r>
    </w:p>
    <w:p w:rsidR="00570181" w:rsidRPr="00BD3276" w:rsidRDefault="00570181"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BE0F52" w:rsidRPr="00BD3276" w:rsidRDefault="002044FC"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BD3276">
        <w:rPr>
          <w:b/>
          <w:sz w:val="24"/>
          <w:szCs w:val="24"/>
        </w:rPr>
        <w:t>а</w:t>
      </w:r>
      <w:r w:rsidR="00383FF6" w:rsidRPr="00BD3276">
        <w:rPr>
          <w:b/>
          <w:sz w:val="24"/>
          <w:szCs w:val="24"/>
        </w:rPr>
        <w:t xml:space="preserve">/ </w:t>
      </w:r>
      <w:r w:rsidR="00191CED" w:rsidRPr="00BD3276">
        <w:rPr>
          <w:sz w:val="24"/>
          <w:szCs w:val="24"/>
        </w:rPr>
        <w:t>Бизнес план</w:t>
      </w:r>
      <w:r w:rsidR="00701AF6" w:rsidRPr="00BD3276">
        <w:rPr>
          <w:sz w:val="24"/>
          <w:szCs w:val="24"/>
        </w:rPr>
        <w:t>, по образец съгласно</w:t>
      </w:r>
      <w:r w:rsidR="00D86770" w:rsidRPr="00BD3276">
        <w:rPr>
          <w:b/>
          <w:sz w:val="24"/>
          <w:szCs w:val="24"/>
        </w:rPr>
        <w:t xml:space="preserve"> </w:t>
      </w:r>
      <w:r w:rsidR="00BE0F52" w:rsidRPr="00195F7F">
        <w:rPr>
          <w:sz w:val="24"/>
          <w:szCs w:val="24"/>
        </w:rPr>
        <w:t xml:space="preserve">Приложение </w:t>
      </w:r>
      <w:r w:rsidR="007B6B2E" w:rsidRPr="00195F7F">
        <w:rPr>
          <w:sz w:val="24"/>
          <w:szCs w:val="24"/>
        </w:rPr>
        <w:t>Б</w:t>
      </w:r>
      <w:r w:rsidR="004B73F1" w:rsidRPr="00195F7F">
        <w:rPr>
          <w:sz w:val="24"/>
          <w:szCs w:val="24"/>
        </w:rPr>
        <w:t xml:space="preserve">, </w:t>
      </w:r>
      <w:r w:rsidR="00E56143" w:rsidRPr="00195F7F">
        <w:rPr>
          <w:b/>
          <w:sz w:val="24"/>
          <w:szCs w:val="24"/>
        </w:rPr>
        <w:t>подписан</w:t>
      </w:r>
      <w:r w:rsidR="00E56143" w:rsidRPr="00D62E93">
        <w:rPr>
          <w:b/>
          <w:sz w:val="24"/>
          <w:szCs w:val="24"/>
        </w:rPr>
        <w:t xml:space="preserve"> с КЕП от лице с право да представлява кандидата и се прикачва в ИСУН 2020</w:t>
      </w:r>
      <w:r w:rsidR="004B73F1" w:rsidRPr="00BD3276">
        <w:rPr>
          <w:sz w:val="24"/>
          <w:szCs w:val="24"/>
        </w:rPr>
        <w:t xml:space="preserve"> </w:t>
      </w:r>
      <w:r w:rsidR="00BE0F52" w:rsidRPr="00BD3276">
        <w:rPr>
          <w:sz w:val="24"/>
          <w:szCs w:val="24"/>
        </w:rPr>
        <w:t>;</w:t>
      </w:r>
    </w:p>
    <w:p w:rsidR="00000FD2" w:rsidRDefault="00000FD2"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000FD2" w:rsidRDefault="00000FD2"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Pr>
          <w:b/>
          <w:sz w:val="24"/>
          <w:szCs w:val="24"/>
        </w:rPr>
        <w:t>ВАЖНО:</w:t>
      </w:r>
      <w:r w:rsidR="0036324D" w:rsidRPr="00BD3276">
        <w:rPr>
          <w:b/>
          <w:sz w:val="24"/>
          <w:szCs w:val="24"/>
        </w:rPr>
        <w:t xml:space="preserve"> </w:t>
      </w:r>
      <w:r w:rsidR="0036324D" w:rsidRPr="00BD3276">
        <w:rPr>
          <w:sz w:val="23"/>
          <w:szCs w:val="23"/>
        </w:rPr>
        <w:t>В случай че Бизнес</w:t>
      </w:r>
      <w:r w:rsidR="00267D8B" w:rsidRPr="00BD3276">
        <w:rPr>
          <w:sz w:val="23"/>
          <w:szCs w:val="23"/>
        </w:rPr>
        <w:t xml:space="preserve"> </w:t>
      </w:r>
      <w:r w:rsidR="0036324D" w:rsidRPr="00000FD2">
        <w:rPr>
          <w:sz w:val="23"/>
          <w:szCs w:val="23"/>
        </w:rPr>
        <w:t>план</w:t>
      </w:r>
      <w:r w:rsidR="00F84BC2">
        <w:rPr>
          <w:sz w:val="23"/>
          <w:szCs w:val="23"/>
        </w:rPr>
        <w:t>ът</w:t>
      </w:r>
      <w:r w:rsidR="00267D8B" w:rsidRPr="00000FD2">
        <w:rPr>
          <w:sz w:val="23"/>
          <w:szCs w:val="23"/>
        </w:rPr>
        <w:t xml:space="preserve"> </w:t>
      </w:r>
      <w:r w:rsidR="00267D8B" w:rsidRPr="00195F7F">
        <w:rPr>
          <w:sz w:val="23"/>
          <w:szCs w:val="23"/>
        </w:rPr>
        <w:t>(</w:t>
      </w:r>
      <w:r w:rsidR="0036324D" w:rsidRPr="00195F7F">
        <w:rPr>
          <w:bCs/>
          <w:sz w:val="23"/>
          <w:szCs w:val="23"/>
        </w:rPr>
        <w:t>Приложение Б</w:t>
      </w:r>
      <w:r w:rsidR="00267D8B" w:rsidRPr="00195F7F">
        <w:rPr>
          <w:bCs/>
          <w:sz w:val="23"/>
          <w:szCs w:val="23"/>
        </w:rPr>
        <w:t>) не е представен в изискуемия образец</w:t>
      </w:r>
      <w:r w:rsidR="007B3514">
        <w:rPr>
          <w:bCs/>
          <w:sz w:val="23"/>
          <w:szCs w:val="23"/>
        </w:rPr>
        <w:t xml:space="preserve"> или не</w:t>
      </w:r>
      <w:r w:rsidR="00F84BC2">
        <w:rPr>
          <w:bCs/>
          <w:sz w:val="23"/>
          <w:szCs w:val="23"/>
        </w:rPr>
        <w:t xml:space="preserve"> са попълнени всички таблици</w:t>
      </w:r>
      <w:r w:rsidR="0036324D" w:rsidRPr="00195F7F">
        <w:rPr>
          <w:sz w:val="23"/>
          <w:szCs w:val="23"/>
        </w:rPr>
        <w:t>, същият не може да бъде допълнително изискван от кандидатите</w:t>
      </w:r>
      <w:r w:rsidR="006D1046" w:rsidRPr="00195F7F">
        <w:rPr>
          <w:sz w:val="23"/>
          <w:szCs w:val="23"/>
        </w:rPr>
        <w:t xml:space="preserve"> и проектното предложение ще бъде отхвърлено</w:t>
      </w:r>
      <w:r w:rsidR="0036324D" w:rsidRPr="00195F7F">
        <w:rPr>
          <w:sz w:val="23"/>
          <w:szCs w:val="23"/>
        </w:rPr>
        <w:t xml:space="preserve">, тъй като </w:t>
      </w:r>
      <w:r w:rsidR="006D1046" w:rsidRPr="00195F7F">
        <w:rPr>
          <w:sz w:val="23"/>
          <w:szCs w:val="23"/>
        </w:rPr>
        <w:t xml:space="preserve">допълнителното </w:t>
      </w:r>
      <w:r w:rsidR="003556A0" w:rsidRPr="00195F7F">
        <w:rPr>
          <w:sz w:val="23"/>
          <w:szCs w:val="23"/>
        </w:rPr>
        <w:t xml:space="preserve">му </w:t>
      </w:r>
      <w:r w:rsidR="006D1046" w:rsidRPr="00195F7F">
        <w:rPr>
          <w:sz w:val="23"/>
          <w:szCs w:val="23"/>
        </w:rPr>
        <w:t>представяне</w:t>
      </w:r>
      <w:r w:rsidR="0036324D" w:rsidRPr="00195F7F">
        <w:rPr>
          <w:sz w:val="23"/>
          <w:szCs w:val="23"/>
        </w:rPr>
        <w:t xml:space="preserve"> ще доведе</w:t>
      </w:r>
      <w:r w:rsidR="0036324D" w:rsidRPr="00195F7F">
        <w:rPr>
          <w:sz w:val="24"/>
          <w:szCs w:val="24"/>
        </w:rPr>
        <w:t xml:space="preserve"> до подобряване на качеството на проектното предложение и до нарушаване на принципите по чл. 10 от ПМС 107/2014 г.</w:t>
      </w:r>
      <w:r w:rsidR="006D1046" w:rsidRPr="00195F7F">
        <w:rPr>
          <w:sz w:val="24"/>
          <w:szCs w:val="24"/>
        </w:rPr>
        <w:t xml:space="preserve"> </w:t>
      </w:r>
      <w:r w:rsidR="008F374F">
        <w:rPr>
          <w:sz w:val="24"/>
          <w:szCs w:val="24"/>
        </w:rPr>
        <w:t xml:space="preserve"> Бизнес планът се подписва</w:t>
      </w:r>
      <w:r w:rsidR="008F374F" w:rsidRPr="008F374F">
        <w:rPr>
          <w:sz w:val="24"/>
          <w:szCs w:val="24"/>
        </w:rPr>
        <w:t xml:space="preserve"> от лице с право да представлява кандидата. В случаите, когато кандидатът се представлява заедно </w:t>
      </w:r>
      <w:r w:rsidR="008F374F">
        <w:rPr>
          <w:sz w:val="24"/>
          <w:szCs w:val="24"/>
        </w:rPr>
        <w:t xml:space="preserve">от няколко физически лица, </w:t>
      </w:r>
      <w:r w:rsidR="0086515B">
        <w:rPr>
          <w:sz w:val="24"/>
          <w:szCs w:val="24"/>
        </w:rPr>
        <w:t>бизнес планът се подписва</w:t>
      </w:r>
      <w:r w:rsidR="008F374F" w:rsidRPr="008F374F">
        <w:rPr>
          <w:sz w:val="24"/>
          <w:szCs w:val="24"/>
        </w:rPr>
        <w:t xml:space="preserve"> от всяко от тях</w:t>
      </w:r>
      <w:r w:rsidR="0086515B">
        <w:rPr>
          <w:sz w:val="24"/>
          <w:szCs w:val="24"/>
        </w:rPr>
        <w:t>.</w:t>
      </w:r>
    </w:p>
    <w:p w:rsidR="00C13086" w:rsidRPr="00195F7F" w:rsidRDefault="00C1308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D55411" w:rsidRPr="003D50BE" w:rsidRDefault="00BE0F52"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r w:rsidRPr="00195F7F">
        <w:rPr>
          <w:b/>
          <w:sz w:val="24"/>
          <w:szCs w:val="24"/>
        </w:rPr>
        <w:t>б/</w:t>
      </w:r>
      <w:r w:rsidRPr="00195F7F">
        <w:rPr>
          <w:sz w:val="24"/>
          <w:szCs w:val="24"/>
        </w:rPr>
        <w:t xml:space="preserve"> </w:t>
      </w:r>
      <w:r w:rsidR="00383FF6" w:rsidRPr="00195F7F">
        <w:rPr>
          <w:sz w:val="24"/>
          <w:szCs w:val="24"/>
        </w:rPr>
        <w:t>Декларация, че кандидатът е запозна</w:t>
      </w:r>
      <w:r w:rsidR="00C50907" w:rsidRPr="00195F7F">
        <w:rPr>
          <w:sz w:val="24"/>
          <w:szCs w:val="24"/>
        </w:rPr>
        <w:t>т с условията за кандидатстване</w:t>
      </w:r>
      <w:r w:rsidR="00383FF6" w:rsidRPr="00195F7F">
        <w:rPr>
          <w:sz w:val="24"/>
          <w:szCs w:val="24"/>
        </w:rPr>
        <w:t xml:space="preserve"> </w:t>
      </w:r>
      <w:r w:rsidR="000073E4" w:rsidRPr="00195F7F">
        <w:rPr>
          <w:sz w:val="24"/>
          <w:szCs w:val="24"/>
        </w:rPr>
        <w:t xml:space="preserve">– </w:t>
      </w:r>
      <w:r w:rsidR="00D55411" w:rsidRPr="00195F7F">
        <w:rPr>
          <w:sz w:val="24"/>
          <w:szCs w:val="24"/>
        </w:rPr>
        <w:t xml:space="preserve">попълнена по </w:t>
      </w:r>
      <w:r w:rsidR="00D55411" w:rsidRPr="003D50BE">
        <w:rPr>
          <w:sz w:val="24"/>
          <w:szCs w:val="24"/>
        </w:rPr>
        <w:t>образец (Приложение В) към Насоките за кандидатстване</w:t>
      </w:r>
      <w:r w:rsidR="00EE4073" w:rsidRPr="003D50BE">
        <w:rPr>
          <w:sz w:val="24"/>
          <w:szCs w:val="24"/>
        </w:rPr>
        <w:t xml:space="preserve"> </w:t>
      </w:r>
      <w:r w:rsidR="00EE4073" w:rsidRPr="003D50BE">
        <w:rPr>
          <w:b/>
          <w:sz w:val="24"/>
          <w:szCs w:val="24"/>
        </w:rPr>
        <w:t>–</w:t>
      </w:r>
      <w:r w:rsidR="00BE55A6" w:rsidRPr="003D50BE">
        <w:rPr>
          <w:b/>
        </w:rPr>
        <w:t xml:space="preserve"> </w:t>
      </w:r>
      <w:r w:rsidR="00BE55A6" w:rsidRPr="003D50BE">
        <w:rPr>
          <w:b/>
          <w:sz w:val="24"/>
          <w:szCs w:val="24"/>
        </w:rPr>
        <w:t>подписана с КЕП  и  прикач</w:t>
      </w:r>
      <w:r w:rsidR="00004A95">
        <w:rPr>
          <w:b/>
          <w:sz w:val="24"/>
          <w:szCs w:val="24"/>
        </w:rPr>
        <w:t>ена</w:t>
      </w:r>
      <w:r w:rsidR="00BE55A6" w:rsidRPr="003D50BE">
        <w:rPr>
          <w:b/>
          <w:sz w:val="24"/>
          <w:szCs w:val="24"/>
        </w:rPr>
        <w:t xml:space="preserve"> в ИСУН 2020</w:t>
      </w:r>
      <w:r w:rsidR="00EE4073" w:rsidRPr="003D50BE">
        <w:rPr>
          <w:b/>
          <w:sz w:val="24"/>
          <w:szCs w:val="24"/>
        </w:rPr>
        <w:t xml:space="preserve"> </w:t>
      </w:r>
      <w:r w:rsidR="00D55411" w:rsidRPr="003D50BE">
        <w:rPr>
          <w:b/>
          <w:sz w:val="24"/>
          <w:szCs w:val="24"/>
        </w:rPr>
        <w:t>.</w:t>
      </w:r>
      <w:r w:rsidR="00D55411" w:rsidRPr="003D50BE" w:rsidDel="00D55411">
        <w:rPr>
          <w:b/>
          <w:sz w:val="24"/>
          <w:szCs w:val="24"/>
        </w:rPr>
        <w:t xml:space="preserve"> </w:t>
      </w:r>
    </w:p>
    <w:p w:rsidR="000073E4" w:rsidRPr="003D50BE" w:rsidRDefault="000073E4"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EE4073" w:rsidRPr="003D50BE" w:rsidRDefault="00EE407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EA48B4" w:rsidRPr="003D50BE" w:rsidRDefault="00E35A4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3D50BE">
        <w:rPr>
          <w:b/>
          <w:sz w:val="24"/>
          <w:szCs w:val="24"/>
        </w:rPr>
        <w:lastRenderedPageBreak/>
        <w:t>в</w:t>
      </w:r>
      <w:r w:rsidR="00EE4073" w:rsidRPr="003D50BE">
        <w:rPr>
          <w:b/>
          <w:sz w:val="24"/>
          <w:szCs w:val="24"/>
        </w:rPr>
        <w:t xml:space="preserve">/ </w:t>
      </w:r>
      <w:r w:rsidR="005A6D4F" w:rsidRPr="003D50BE">
        <w:rPr>
          <w:sz w:val="24"/>
          <w:szCs w:val="24"/>
        </w:rPr>
        <w:t>Декларация по чл. 9, ал. 8, т. 1 на ПМС</w:t>
      </w:r>
      <w:r w:rsidR="004A627E" w:rsidRPr="003D50BE">
        <w:rPr>
          <w:sz w:val="24"/>
          <w:szCs w:val="24"/>
        </w:rPr>
        <w:t xml:space="preserve"> № 107/10.05.2014</w:t>
      </w:r>
      <w:r w:rsidR="00866DFA" w:rsidRPr="003D50BE">
        <w:rPr>
          <w:sz w:val="24"/>
          <w:szCs w:val="24"/>
        </w:rPr>
        <w:t xml:space="preserve"> – попълнена по образец</w:t>
      </w:r>
      <w:r w:rsidR="004A627E" w:rsidRPr="003D50BE">
        <w:rPr>
          <w:sz w:val="24"/>
          <w:szCs w:val="24"/>
        </w:rPr>
        <w:t xml:space="preserve"> (Приложение Г</w:t>
      </w:r>
      <w:r w:rsidR="005A6D4F" w:rsidRPr="003D50BE">
        <w:rPr>
          <w:sz w:val="24"/>
          <w:szCs w:val="24"/>
        </w:rPr>
        <w:t>) към Насоките за кандидатстване</w:t>
      </w:r>
      <w:r w:rsidR="00EE4073" w:rsidRPr="003D50BE">
        <w:rPr>
          <w:sz w:val="24"/>
          <w:szCs w:val="24"/>
        </w:rPr>
        <w:t xml:space="preserve"> – </w:t>
      </w:r>
      <w:r w:rsidR="00BE55A6" w:rsidRPr="003D50BE">
        <w:rPr>
          <w:b/>
          <w:sz w:val="24"/>
          <w:szCs w:val="24"/>
        </w:rPr>
        <w:t>подписана с КЕП  и  прикач</w:t>
      </w:r>
      <w:r w:rsidR="00B27BC3">
        <w:rPr>
          <w:b/>
          <w:sz w:val="24"/>
          <w:szCs w:val="24"/>
        </w:rPr>
        <w:t>ена</w:t>
      </w:r>
      <w:r w:rsidR="00BE55A6" w:rsidRPr="003D50BE">
        <w:rPr>
          <w:b/>
          <w:sz w:val="24"/>
          <w:szCs w:val="24"/>
        </w:rPr>
        <w:t xml:space="preserve"> в ИСУН 2020</w:t>
      </w:r>
      <w:r w:rsidR="00EE4073" w:rsidRPr="003D50BE">
        <w:rPr>
          <w:b/>
          <w:sz w:val="24"/>
          <w:szCs w:val="24"/>
        </w:rPr>
        <w:t>;</w:t>
      </w:r>
    </w:p>
    <w:p w:rsidR="001C5D96" w:rsidRPr="003D50BE" w:rsidRDefault="001C5D9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EE4073" w:rsidRPr="003D50BE" w:rsidRDefault="00AC3DF0"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r w:rsidRPr="003D50BE">
        <w:rPr>
          <w:b/>
          <w:sz w:val="24"/>
          <w:szCs w:val="24"/>
        </w:rPr>
        <w:t>г</w:t>
      </w:r>
      <w:r w:rsidR="005A6D4F" w:rsidRPr="003D50BE">
        <w:rPr>
          <w:b/>
          <w:sz w:val="24"/>
          <w:szCs w:val="24"/>
        </w:rPr>
        <w:t xml:space="preserve">/ </w:t>
      </w:r>
      <w:r w:rsidR="00233983" w:rsidRPr="003D50BE">
        <w:rPr>
          <w:sz w:val="24"/>
          <w:szCs w:val="24"/>
        </w:rPr>
        <w:t>Декларация за държавни</w:t>
      </w:r>
      <w:r w:rsidR="0034277A">
        <w:rPr>
          <w:sz w:val="24"/>
          <w:szCs w:val="24"/>
        </w:rPr>
        <w:t>/минимални</w:t>
      </w:r>
      <w:r w:rsidR="00233983" w:rsidRPr="003D50BE">
        <w:rPr>
          <w:sz w:val="24"/>
          <w:szCs w:val="24"/>
        </w:rPr>
        <w:t xml:space="preserve"> помощи – поп</w:t>
      </w:r>
      <w:r w:rsidR="004A627E" w:rsidRPr="003D50BE">
        <w:rPr>
          <w:sz w:val="24"/>
          <w:szCs w:val="24"/>
        </w:rPr>
        <w:t>ълнена по образец (Приложение Д</w:t>
      </w:r>
      <w:r w:rsidR="00233983" w:rsidRPr="003D50BE">
        <w:rPr>
          <w:sz w:val="24"/>
          <w:szCs w:val="24"/>
        </w:rPr>
        <w:t xml:space="preserve">) </w:t>
      </w:r>
      <w:r w:rsidR="00E918C1" w:rsidRPr="003D50BE">
        <w:rPr>
          <w:sz w:val="24"/>
          <w:szCs w:val="24"/>
        </w:rPr>
        <w:t>към Насоките за кандидатстване</w:t>
      </w:r>
      <w:r w:rsidR="00EE4073" w:rsidRPr="003D50BE">
        <w:rPr>
          <w:sz w:val="24"/>
          <w:szCs w:val="24"/>
        </w:rPr>
        <w:t xml:space="preserve"> </w:t>
      </w:r>
      <w:r w:rsidR="00EE4073" w:rsidRPr="003D50BE">
        <w:rPr>
          <w:b/>
          <w:sz w:val="24"/>
          <w:szCs w:val="24"/>
        </w:rPr>
        <w:t>–</w:t>
      </w:r>
      <w:r w:rsidRPr="003D50BE">
        <w:rPr>
          <w:b/>
          <w:sz w:val="24"/>
          <w:szCs w:val="24"/>
        </w:rPr>
        <w:t xml:space="preserve"> подписана с КЕП  и  прикач</w:t>
      </w:r>
      <w:r w:rsidR="00B27BC3">
        <w:rPr>
          <w:b/>
          <w:sz w:val="24"/>
          <w:szCs w:val="24"/>
        </w:rPr>
        <w:t>ена</w:t>
      </w:r>
      <w:r w:rsidRPr="003D50BE">
        <w:rPr>
          <w:b/>
          <w:sz w:val="24"/>
          <w:szCs w:val="24"/>
        </w:rPr>
        <w:t xml:space="preserve"> в ИСУН 2020</w:t>
      </w:r>
      <w:r w:rsidR="00EE4073" w:rsidRPr="003D50BE">
        <w:rPr>
          <w:b/>
          <w:sz w:val="24"/>
          <w:szCs w:val="24"/>
        </w:rPr>
        <w:t xml:space="preserve"> ;</w:t>
      </w:r>
    </w:p>
    <w:p w:rsidR="00233983" w:rsidRPr="003D50BE" w:rsidRDefault="0023398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p>
    <w:p w:rsidR="007B5996" w:rsidRPr="003D50BE" w:rsidRDefault="00AC3DF0" w:rsidP="00EE407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r w:rsidRPr="003D50BE">
        <w:rPr>
          <w:b/>
          <w:sz w:val="24"/>
          <w:szCs w:val="24"/>
        </w:rPr>
        <w:t>д</w:t>
      </w:r>
      <w:r w:rsidR="009C519B" w:rsidRPr="003D50BE">
        <w:rPr>
          <w:b/>
          <w:sz w:val="24"/>
          <w:szCs w:val="24"/>
        </w:rPr>
        <w:t>/</w:t>
      </w:r>
      <w:r w:rsidR="009C519B" w:rsidRPr="003D50BE">
        <w:rPr>
          <w:sz w:val="24"/>
          <w:szCs w:val="24"/>
        </w:rPr>
        <w:t xml:space="preserve"> Декларация за обстоятелствата по чл. 3 и чл. 4 от Закона за м</w:t>
      </w:r>
      <w:r w:rsidR="00032AB7" w:rsidRPr="003D50BE">
        <w:rPr>
          <w:sz w:val="24"/>
          <w:szCs w:val="24"/>
        </w:rPr>
        <w:t xml:space="preserve">алките и средните предприятия </w:t>
      </w:r>
      <w:r w:rsidR="007157A4" w:rsidRPr="003D50BE">
        <w:rPr>
          <w:sz w:val="24"/>
          <w:szCs w:val="24"/>
        </w:rPr>
        <w:t xml:space="preserve">– попълнена по образец </w:t>
      </w:r>
      <w:r w:rsidR="004A627E" w:rsidRPr="003D50BE">
        <w:rPr>
          <w:sz w:val="24"/>
          <w:szCs w:val="24"/>
        </w:rPr>
        <w:t xml:space="preserve">(Приложение </w:t>
      </w:r>
      <w:r w:rsidR="00517E57" w:rsidRPr="003D50BE">
        <w:rPr>
          <w:sz w:val="24"/>
          <w:szCs w:val="24"/>
        </w:rPr>
        <w:t>Е</w:t>
      </w:r>
      <w:r w:rsidR="009C519B" w:rsidRPr="003D50BE">
        <w:rPr>
          <w:sz w:val="24"/>
          <w:szCs w:val="24"/>
        </w:rPr>
        <w:t>)</w:t>
      </w:r>
      <w:r w:rsidR="007157A4" w:rsidRPr="003D50BE">
        <w:rPr>
          <w:sz w:val="24"/>
          <w:szCs w:val="24"/>
        </w:rPr>
        <w:t xml:space="preserve"> към </w:t>
      </w:r>
      <w:r w:rsidR="00866DFA" w:rsidRPr="003D50BE">
        <w:rPr>
          <w:sz w:val="24"/>
          <w:szCs w:val="24"/>
        </w:rPr>
        <w:t>Н</w:t>
      </w:r>
      <w:r w:rsidR="007157A4" w:rsidRPr="003D50BE">
        <w:rPr>
          <w:sz w:val="24"/>
          <w:szCs w:val="24"/>
        </w:rPr>
        <w:t>асоките за канди</w:t>
      </w:r>
      <w:r w:rsidR="00F359DD" w:rsidRPr="003D50BE">
        <w:rPr>
          <w:sz w:val="24"/>
          <w:szCs w:val="24"/>
        </w:rPr>
        <w:t>д</w:t>
      </w:r>
      <w:r w:rsidR="007157A4" w:rsidRPr="003D50BE">
        <w:rPr>
          <w:sz w:val="24"/>
          <w:szCs w:val="24"/>
        </w:rPr>
        <w:t>атстване</w:t>
      </w:r>
      <w:r w:rsidR="00EE4073" w:rsidRPr="003D50BE">
        <w:rPr>
          <w:sz w:val="24"/>
          <w:szCs w:val="24"/>
        </w:rPr>
        <w:t xml:space="preserve"> –</w:t>
      </w:r>
      <w:r w:rsidR="00647D2F" w:rsidRPr="003D50BE">
        <w:rPr>
          <w:sz w:val="24"/>
          <w:szCs w:val="24"/>
        </w:rPr>
        <w:t xml:space="preserve"> </w:t>
      </w:r>
      <w:r w:rsidR="00647D2F" w:rsidRPr="003D50BE">
        <w:rPr>
          <w:b/>
          <w:sz w:val="24"/>
          <w:szCs w:val="24"/>
        </w:rPr>
        <w:t>подписана с КЕП  и  прикач</w:t>
      </w:r>
      <w:r w:rsidR="00B27BC3">
        <w:rPr>
          <w:b/>
          <w:sz w:val="24"/>
          <w:szCs w:val="24"/>
        </w:rPr>
        <w:t>ена</w:t>
      </w:r>
      <w:r w:rsidR="00647D2F" w:rsidRPr="003D50BE">
        <w:rPr>
          <w:b/>
          <w:sz w:val="24"/>
          <w:szCs w:val="24"/>
        </w:rPr>
        <w:t xml:space="preserve"> в ИСУН 2020</w:t>
      </w:r>
      <w:r w:rsidR="00EE4073" w:rsidRPr="003D50BE">
        <w:rPr>
          <w:b/>
          <w:sz w:val="24"/>
          <w:szCs w:val="24"/>
        </w:rPr>
        <w:t>;</w:t>
      </w:r>
    </w:p>
    <w:p w:rsidR="00B07704" w:rsidRPr="003D50BE" w:rsidRDefault="00B07704" w:rsidP="00EE407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B07704" w:rsidRPr="00B07704" w:rsidRDefault="00B07704" w:rsidP="00EE4073">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3D50BE">
        <w:rPr>
          <w:b/>
          <w:sz w:val="24"/>
          <w:szCs w:val="24"/>
        </w:rPr>
        <w:t xml:space="preserve">е/ </w:t>
      </w:r>
      <w:r w:rsidRPr="003D50BE">
        <w:rPr>
          <w:sz w:val="24"/>
          <w:szCs w:val="24"/>
        </w:rPr>
        <w:t>Декларация за ненарушаване на чужди права върху интелектуална собственост</w:t>
      </w:r>
      <w:r w:rsidR="00B24512" w:rsidRPr="003D50BE">
        <w:rPr>
          <w:sz w:val="24"/>
          <w:szCs w:val="24"/>
        </w:rPr>
        <w:t xml:space="preserve"> - попълнена по образец (Приложение </w:t>
      </w:r>
      <w:r w:rsidR="00152651" w:rsidRPr="003D50BE">
        <w:rPr>
          <w:sz w:val="24"/>
          <w:szCs w:val="24"/>
        </w:rPr>
        <w:t>Ж</w:t>
      </w:r>
      <w:r w:rsidR="00B24512" w:rsidRPr="003D50BE">
        <w:rPr>
          <w:sz w:val="24"/>
          <w:szCs w:val="24"/>
        </w:rPr>
        <w:t>) към Насоките</w:t>
      </w:r>
      <w:r w:rsidR="00B24512" w:rsidRPr="00BD3276">
        <w:rPr>
          <w:sz w:val="24"/>
          <w:szCs w:val="24"/>
        </w:rPr>
        <w:t xml:space="preserve"> за кандидатстване –</w:t>
      </w:r>
      <w:r w:rsidR="00B24512" w:rsidRPr="00647D2F">
        <w:rPr>
          <w:sz w:val="24"/>
          <w:szCs w:val="24"/>
        </w:rPr>
        <w:t xml:space="preserve"> </w:t>
      </w:r>
      <w:r w:rsidR="00B24512" w:rsidRPr="0055394C">
        <w:rPr>
          <w:b/>
          <w:sz w:val="24"/>
          <w:szCs w:val="24"/>
        </w:rPr>
        <w:t>подписана с КЕП  и  прикач</w:t>
      </w:r>
      <w:r w:rsidR="00B27BC3">
        <w:rPr>
          <w:b/>
          <w:sz w:val="24"/>
          <w:szCs w:val="24"/>
        </w:rPr>
        <w:t>ена</w:t>
      </w:r>
      <w:r w:rsidR="00B24512" w:rsidRPr="0055394C">
        <w:rPr>
          <w:b/>
          <w:sz w:val="24"/>
          <w:szCs w:val="24"/>
        </w:rPr>
        <w:t xml:space="preserve"> в ИСУН 2020;</w:t>
      </w:r>
    </w:p>
    <w:p w:rsidR="007B5996" w:rsidRPr="00BD3276" w:rsidRDefault="007B5996"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b/>
          <w:sz w:val="24"/>
          <w:szCs w:val="24"/>
        </w:rPr>
      </w:pPr>
    </w:p>
    <w:p w:rsidR="00FF2554" w:rsidRPr="00BD3276" w:rsidRDefault="00FF2554"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sz w:val="24"/>
          <w:szCs w:val="24"/>
        </w:rPr>
      </w:pPr>
      <w:r w:rsidRPr="00BD3276">
        <w:rPr>
          <w:b/>
          <w:sz w:val="24"/>
          <w:szCs w:val="24"/>
        </w:rPr>
        <w:t xml:space="preserve">ВАЖНО: </w:t>
      </w:r>
      <w:r w:rsidR="00C13086">
        <w:rPr>
          <w:sz w:val="24"/>
          <w:szCs w:val="24"/>
        </w:rPr>
        <w:t xml:space="preserve">С </w:t>
      </w:r>
      <w:r w:rsidRPr="00BD3276">
        <w:rPr>
          <w:sz w:val="24"/>
          <w:szCs w:val="24"/>
        </w:rPr>
        <w:t>декларации</w:t>
      </w:r>
      <w:r w:rsidR="00EE4073" w:rsidRPr="00BD3276">
        <w:rPr>
          <w:sz w:val="24"/>
          <w:szCs w:val="24"/>
        </w:rPr>
        <w:t xml:space="preserve">те по букви б/, </w:t>
      </w:r>
      <w:r w:rsidR="000239A1">
        <w:rPr>
          <w:sz w:val="24"/>
          <w:szCs w:val="24"/>
        </w:rPr>
        <w:t>в</w:t>
      </w:r>
      <w:r w:rsidR="00EE4073" w:rsidRPr="00BD3276">
        <w:rPr>
          <w:sz w:val="24"/>
          <w:szCs w:val="24"/>
        </w:rPr>
        <w:t xml:space="preserve">/, </w:t>
      </w:r>
      <w:r w:rsidR="000239A1">
        <w:rPr>
          <w:sz w:val="24"/>
          <w:szCs w:val="24"/>
        </w:rPr>
        <w:t>г</w:t>
      </w:r>
      <w:r w:rsidR="00EE4073" w:rsidRPr="00BD3276">
        <w:rPr>
          <w:sz w:val="24"/>
          <w:szCs w:val="24"/>
        </w:rPr>
        <w:t>/</w:t>
      </w:r>
      <w:r w:rsidR="00F4556D">
        <w:rPr>
          <w:sz w:val="24"/>
          <w:szCs w:val="24"/>
        </w:rPr>
        <w:t>, д/</w:t>
      </w:r>
      <w:r w:rsidR="00EE4073" w:rsidRPr="00BD3276">
        <w:rPr>
          <w:sz w:val="24"/>
          <w:szCs w:val="24"/>
        </w:rPr>
        <w:t xml:space="preserve"> и </w:t>
      </w:r>
      <w:r w:rsidR="00F4556D">
        <w:rPr>
          <w:sz w:val="24"/>
          <w:szCs w:val="24"/>
        </w:rPr>
        <w:t>е</w:t>
      </w:r>
      <w:r w:rsidR="00EE4073" w:rsidRPr="00BD3276">
        <w:rPr>
          <w:sz w:val="24"/>
          <w:szCs w:val="24"/>
        </w:rPr>
        <w:t>/</w:t>
      </w:r>
      <w:r w:rsidR="00357B38">
        <w:rPr>
          <w:sz w:val="24"/>
          <w:szCs w:val="24"/>
        </w:rPr>
        <w:t xml:space="preserve"> </w:t>
      </w:r>
      <w:r w:rsidRPr="00BD3276">
        <w:rPr>
          <w:sz w:val="24"/>
          <w:szCs w:val="24"/>
        </w:rPr>
        <w:t xml:space="preserve">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rsidR="006E7D2F" w:rsidRDefault="006E7D2F"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sz w:val="24"/>
          <w:szCs w:val="24"/>
        </w:rPr>
      </w:pPr>
    </w:p>
    <w:p w:rsidR="00FF2554" w:rsidRPr="00BD3276" w:rsidRDefault="00FF2554"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sz w:val="24"/>
          <w:szCs w:val="24"/>
        </w:rPr>
      </w:pPr>
      <w:r w:rsidRPr="00BD3276">
        <w:rPr>
          <w:sz w:val="24"/>
          <w:szCs w:val="24"/>
        </w:rPr>
        <w:t xml:space="preserve">Декларациите по </w:t>
      </w:r>
      <w:r w:rsidR="00E84C58" w:rsidRPr="00BD3276">
        <w:rPr>
          <w:sz w:val="24"/>
          <w:szCs w:val="24"/>
        </w:rPr>
        <w:t>букви</w:t>
      </w:r>
      <w:r w:rsidRPr="00BD3276">
        <w:rPr>
          <w:sz w:val="24"/>
          <w:szCs w:val="24"/>
        </w:rPr>
        <w:t xml:space="preserve"> </w:t>
      </w:r>
      <w:r w:rsidR="00247485" w:rsidRPr="00BD3276">
        <w:rPr>
          <w:sz w:val="24"/>
          <w:szCs w:val="24"/>
        </w:rPr>
        <w:t>б</w:t>
      </w:r>
      <w:r w:rsidR="00E84C58" w:rsidRPr="00BD3276">
        <w:rPr>
          <w:sz w:val="24"/>
          <w:szCs w:val="24"/>
        </w:rPr>
        <w:t>/</w:t>
      </w:r>
      <w:r w:rsidR="00247485" w:rsidRPr="00BD3276">
        <w:rPr>
          <w:sz w:val="24"/>
          <w:szCs w:val="24"/>
        </w:rPr>
        <w:t>,</w:t>
      </w:r>
      <w:r w:rsidR="00CC6BB0" w:rsidRPr="00BD3276">
        <w:rPr>
          <w:sz w:val="24"/>
          <w:szCs w:val="24"/>
        </w:rPr>
        <w:t xml:space="preserve"> </w:t>
      </w:r>
      <w:r w:rsidR="000239A1">
        <w:rPr>
          <w:sz w:val="24"/>
          <w:szCs w:val="24"/>
        </w:rPr>
        <w:t>г</w:t>
      </w:r>
      <w:r w:rsidR="00E84C58" w:rsidRPr="00BD3276">
        <w:rPr>
          <w:sz w:val="24"/>
          <w:szCs w:val="24"/>
        </w:rPr>
        <w:t>/</w:t>
      </w:r>
      <w:r w:rsidR="00F4556D">
        <w:rPr>
          <w:sz w:val="24"/>
          <w:szCs w:val="24"/>
        </w:rPr>
        <w:t>, д/</w:t>
      </w:r>
      <w:r w:rsidR="00247485" w:rsidRPr="00BD3276">
        <w:rPr>
          <w:sz w:val="24"/>
          <w:szCs w:val="24"/>
        </w:rPr>
        <w:t xml:space="preserve"> </w:t>
      </w:r>
      <w:r w:rsidR="00EE4073" w:rsidRPr="00BD3276">
        <w:rPr>
          <w:sz w:val="24"/>
          <w:szCs w:val="24"/>
        </w:rPr>
        <w:t xml:space="preserve">и </w:t>
      </w:r>
      <w:r w:rsidR="00F4556D">
        <w:rPr>
          <w:sz w:val="24"/>
          <w:szCs w:val="24"/>
        </w:rPr>
        <w:t>е</w:t>
      </w:r>
      <w:r w:rsidR="00EE4073" w:rsidRPr="00BD3276">
        <w:rPr>
          <w:sz w:val="24"/>
          <w:szCs w:val="24"/>
        </w:rPr>
        <w:t xml:space="preserve">/ </w:t>
      </w:r>
      <w:r w:rsidRPr="00BD3276">
        <w:rPr>
          <w:sz w:val="24"/>
          <w:szCs w:val="24"/>
        </w:rPr>
        <w:t xml:space="preserve">се подписват </w:t>
      </w:r>
      <w:r w:rsidR="00EE4073" w:rsidRPr="00BD3276">
        <w:rPr>
          <w:sz w:val="24"/>
          <w:szCs w:val="24"/>
        </w:rPr>
        <w:t>и попълват</w:t>
      </w:r>
      <w:r w:rsidR="00247485" w:rsidRPr="00BD3276">
        <w:rPr>
          <w:sz w:val="24"/>
          <w:szCs w:val="24"/>
        </w:rPr>
        <w:t xml:space="preserve"> </w:t>
      </w:r>
      <w:r w:rsidRPr="00BD3276">
        <w:rPr>
          <w:sz w:val="24"/>
          <w:szCs w:val="24"/>
        </w:rPr>
        <w:t xml:space="preserve">от лице с право да представлява кандидата. В случаите, когато кандидатът се представлява </w:t>
      </w:r>
      <w:r w:rsidRPr="00BD3276">
        <w:rPr>
          <w:sz w:val="24"/>
          <w:szCs w:val="24"/>
          <w:u w:val="single"/>
        </w:rPr>
        <w:t>заедно</w:t>
      </w:r>
      <w:r w:rsidRPr="00BD3276">
        <w:rPr>
          <w:sz w:val="24"/>
          <w:szCs w:val="24"/>
        </w:rPr>
        <w:t xml:space="preserve"> от няколко физически лица, се попълват данните и декларациите се подписват от всяко от тях. </w:t>
      </w:r>
    </w:p>
    <w:p w:rsidR="006E7D2F" w:rsidRDefault="006E7D2F"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sz w:val="24"/>
          <w:szCs w:val="24"/>
        </w:rPr>
      </w:pPr>
    </w:p>
    <w:p w:rsidR="00247485" w:rsidRPr="00BD3276" w:rsidRDefault="00247485" w:rsidP="002A5C07">
      <w:pPr>
        <w:pStyle w:val="ListParagraph"/>
        <w:pBdr>
          <w:top w:val="single" w:sz="4" w:space="1" w:color="auto"/>
          <w:left w:val="single" w:sz="4" w:space="4" w:color="auto"/>
          <w:bottom w:val="single" w:sz="4" w:space="8" w:color="auto"/>
          <w:right w:val="single" w:sz="4" w:space="4" w:color="auto"/>
        </w:pBdr>
        <w:spacing w:after="120" w:line="240" w:lineRule="auto"/>
        <w:ind w:left="0"/>
        <w:jc w:val="both"/>
        <w:rPr>
          <w:sz w:val="24"/>
          <w:szCs w:val="24"/>
        </w:rPr>
      </w:pPr>
      <w:r w:rsidRPr="00BD3276">
        <w:rPr>
          <w:sz w:val="24"/>
          <w:szCs w:val="24"/>
        </w:rPr>
        <w:t xml:space="preserve">Декларацията по </w:t>
      </w:r>
      <w:r w:rsidR="00E84C58" w:rsidRPr="00BD3276">
        <w:rPr>
          <w:sz w:val="24"/>
          <w:szCs w:val="24"/>
        </w:rPr>
        <w:t>буква</w:t>
      </w:r>
      <w:r w:rsidR="00C37CCC" w:rsidRPr="00BD3276">
        <w:rPr>
          <w:sz w:val="24"/>
          <w:szCs w:val="24"/>
        </w:rPr>
        <w:t xml:space="preserve"> </w:t>
      </w:r>
      <w:r w:rsidR="008B40C4">
        <w:rPr>
          <w:sz w:val="24"/>
          <w:szCs w:val="24"/>
        </w:rPr>
        <w:t>в</w:t>
      </w:r>
      <w:r w:rsidR="00E84C58" w:rsidRPr="00BD3276">
        <w:rPr>
          <w:sz w:val="24"/>
          <w:szCs w:val="24"/>
        </w:rPr>
        <w:t>/</w:t>
      </w:r>
      <w:r w:rsidRPr="00BD3276">
        <w:rPr>
          <w:sz w:val="24"/>
          <w:szCs w:val="24"/>
        </w:rPr>
        <w:t xml:space="preserve"> се попълва и се</w:t>
      </w:r>
      <w:r w:rsidRPr="00BD3276">
        <w:rPr>
          <w:bCs/>
          <w:sz w:val="24"/>
          <w:szCs w:val="24"/>
        </w:rPr>
        <w:t xml:space="preserve"> подписва от </w:t>
      </w:r>
      <w:r w:rsidRPr="00BD3276">
        <w:rPr>
          <w:bCs/>
          <w:sz w:val="24"/>
          <w:szCs w:val="24"/>
          <w:u w:val="single"/>
        </w:rPr>
        <w:t>всички</w:t>
      </w:r>
      <w:r w:rsidRPr="00BD3276">
        <w:rPr>
          <w:bCs/>
          <w:sz w:val="24"/>
          <w:szCs w:val="24"/>
        </w:rPr>
        <w:t xml:space="preserve"> лица, с право да</w:t>
      </w:r>
      <w:r w:rsidRPr="00BD3276">
        <w:rPr>
          <w:sz w:val="24"/>
          <w:szCs w:val="24"/>
        </w:rPr>
        <w:t xml:space="preserve"> </w:t>
      </w:r>
      <w:r w:rsidRPr="00BD3276">
        <w:rPr>
          <w:bCs/>
          <w:sz w:val="24"/>
          <w:szCs w:val="24"/>
        </w:rPr>
        <w:t xml:space="preserve">представляват кандидата </w:t>
      </w:r>
      <w:r w:rsidRPr="00BD3276">
        <w:rPr>
          <w:sz w:val="24"/>
          <w:szCs w:val="24"/>
        </w:rPr>
        <w:t>(</w:t>
      </w:r>
      <w:r w:rsidRPr="00BD3276">
        <w:rPr>
          <w:bCs/>
          <w:sz w:val="24"/>
          <w:szCs w:val="24"/>
        </w:rPr>
        <w:t>независимо от това дали заедно и/или поотделно, и/или по</w:t>
      </w:r>
      <w:r w:rsidRPr="00BD3276">
        <w:rPr>
          <w:sz w:val="24"/>
          <w:szCs w:val="24"/>
        </w:rPr>
        <w:t xml:space="preserve"> </w:t>
      </w:r>
      <w:r w:rsidRPr="00BD3276">
        <w:rPr>
          <w:bCs/>
          <w:sz w:val="24"/>
          <w:szCs w:val="24"/>
        </w:rPr>
        <w:t>друг начин</w:t>
      </w:r>
      <w:r w:rsidRPr="00BD3276">
        <w:rPr>
          <w:sz w:val="24"/>
          <w:szCs w:val="24"/>
        </w:rPr>
        <w:t>).</w:t>
      </w:r>
    </w:p>
    <w:p w:rsidR="00FF2554" w:rsidRPr="00BD3276" w:rsidRDefault="00FF2554"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p>
    <w:p w:rsidR="007B5996" w:rsidRDefault="007B5996"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BD3276">
        <w:rPr>
          <w:sz w:val="24"/>
          <w:szCs w:val="24"/>
        </w:rPr>
        <w:t xml:space="preserve">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w:t>
      </w:r>
      <w:proofErr w:type="spellStart"/>
      <w:r w:rsidRPr="00BD3276">
        <w:rPr>
          <w:sz w:val="24"/>
          <w:szCs w:val="24"/>
        </w:rPr>
        <w:t>придружителните</w:t>
      </w:r>
      <w:proofErr w:type="spellEnd"/>
      <w:r w:rsidRPr="00BD3276">
        <w:rPr>
          <w:sz w:val="24"/>
          <w:szCs w:val="24"/>
        </w:rPr>
        <w:t xml:space="preserve"> документи.</w:t>
      </w:r>
    </w:p>
    <w:p w:rsidR="008B40C4" w:rsidRDefault="008B40C4"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p>
    <w:p w:rsidR="00EB29B7" w:rsidRDefault="00DE7A4D"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b/>
          <w:sz w:val="24"/>
          <w:szCs w:val="24"/>
        </w:rPr>
      </w:pPr>
      <w:r>
        <w:rPr>
          <w:b/>
          <w:sz w:val="24"/>
          <w:szCs w:val="24"/>
        </w:rPr>
        <w:t>ж</w:t>
      </w:r>
      <w:r w:rsidR="00EB29B7">
        <w:rPr>
          <w:b/>
          <w:sz w:val="24"/>
          <w:szCs w:val="24"/>
        </w:rPr>
        <w:t xml:space="preserve">/ </w:t>
      </w:r>
      <w:r w:rsidR="00EB29B7" w:rsidRPr="00EB29B7">
        <w:rPr>
          <w:sz w:val="24"/>
          <w:szCs w:val="24"/>
        </w:rPr>
        <w:t>Сравнителен а</w:t>
      </w:r>
      <w:r w:rsidR="00EB29B7">
        <w:rPr>
          <w:sz w:val="24"/>
          <w:szCs w:val="24"/>
        </w:rPr>
        <w:t>нализ на внедряваната иновация, попълнен по образец</w:t>
      </w:r>
      <w:r w:rsidR="00EB29B7" w:rsidRPr="00EB29B7">
        <w:rPr>
          <w:sz w:val="24"/>
          <w:szCs w:val="24"/>
        </w:rPr>
        <w:t xml:space="preserve"> </w:t>
      </w:r>
      <w:r w:rsidR="00EB29B7">
        <w:rPr>
          <w:sz w:val="24"/>
          <w:szCs w:val="24"/>
        </w:rPr>
        <w:t>(</w:t>
      </w:r>
      <w:r w:rsidR="00EB29B7" w:rsidRPr="00EB29B7">
        <w:rPr>
          <w:sz w:val="24"/>
          <w:szCs w:val="24"/>
        </w:rPr>
        <w:t>Приложение З</w:t>
      </w:r>
      <w:r w:rsidR="007E2B5D">
        <w:rPr>
          <w:sz w:val="24"/>
          <w:szCs w:val="24"/>
        </w:rPr>
        <w:t>) към Насоките за кандидатств</w:t>
      </w:r>
      <w:r w:rsidR="00E4432E">
        <w:rPr>
          <w:sz w:val="24"/>
          <w:szCs w:val="24"/>
        </w:rPr>
        <w:t>а</w:t>
      </w:r>
      <w:r w:rsidR="007E2B5D">
        <w:rPr>
          <w:sz w:val="24"/>
          <w:szCs w:val="24"/>
        </w:rPr>
        <w:t>не -</w:t>
      </w:r>
      <w:r w:rsidR="00E4432E">
        <w:rPr>
          <w:sz w:val="24"/>
          <w:szCs w:val="24"/>
        </w:rPr>
        <w:t xml:space="preserve"> </w:t>
      </w:r>
      <w:r w:rsidR="007E2B5D">
        <w:rPr>
          <w:sz w:val="24"/>
          <w:szCs w:val="24"/>
        </w:rPr>
        <w:t xml:space="preserve"> </w:t>
      </w:r>
      <w:r w:rsidR="00E4432E" w:rsidRPr="00E4432E">
        <w:rPr>
          <w:b/>
          <w:sz w:val="24"/>
          <w:szCs w:val="24"/>
        </w:rPr>
        <w:t>подписан с КЕП  и прикач</w:t>
      </w:r>
      <w:r w:rsidR="00D716F6">
        <w:rPr>
          <w:b/>
          <w:sz w:val="24"/>
          <w:szCs w:val="24"/>
        </w:rPr>
        <w:t>ен</w:t>
      </w:r>
      <w:r w:rsidR="00E4432E" w:rsidRPr="00E4432E">
        <w:rPr>
          <w:b/>
          <w:sz w:val="24"/>
          <w:szCs w:val="24"/>
        </w:rPr>
        <w:t xml:space="preserve"> в ИСУН 2020</w:t>
      </w:r>
      <w:r w:rsidR="00E4432E">
        <w:rPr>
          <w:b/>
          <w:sz w:val="24"/>
          <w:szCs w:val="24"/>
        </w:rPr>
        <w:t>.</w:t>
      </w:r>
      <w:r w:rsidR="00AE3967" w:rsidRPr="00AE3967">
        <w:rPr>
          <w:sz w:val="24"/>
          <w:szCs w:val="24"/>
        </w:rPr>
        <w:t xml:space="preserve"> В случаите, когато кандидатът се представлява заедно от няколко физически лица, </w:t>
      </w:r>
      <w:r w:rsidR="00AE3967">
        <w:rPr>
          <w:sz w:val="24"/>
          <w:szCs w:val="24"/>
        </w:rPr>
        <w:t>Сравнителния анализ</w:t>
      </w:r>
      <w:r w:rsidR="00AE3967" w:rsidRPr="00AE3967">
        <w:rPr>
          <w:sz w:val="24"/>
          <w:szCs w:val="24"/>
        </w:rPr>
        <w:t xml:space="preserve"> се подписва от всяко от тях.</w:t>
      </w:r>
    </w:p>
    <w:p w:rsidR="00EB29B7" w:rsidRDefault="00EB29B7"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b/>
          <w:sz w:val="24"/>
          <w:szCs w:val="24"/>
        </w:rPr>
      </w:pPr>
    </w:p>
    <w:p w:rsidR="00727F29" w:rsidRPr="00BD3276" w:rsidRDefault="00E4432E"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Pr>
          <w:b/>
          <w:sz w:val="24"/>
          <w:szCs w:val="24"/>
        </w:rPr>
        <w:t>з</w:t>
      </w:r>
      <w:r w:rsidR="008B40C4" w:rsidRPr="00494723">
        <w:rPr>
          <w:b/>
          <w:sz w:val="24"/>
          <w:szCs w:val="24"/>
        </w:rPr>
        <w:t>/</w:t>
      </w:r>
      <w:r w:rsidR="008B40C4">
        <w:rPr>
          <w:sz w:val="24"/>
          <w:szCs w:val="24"/>
        </w:rPr>
        <w:t xml:space="preserve"> </w:t>
      </w:r>
      <w:r w:rsidR="00080814">
        <w:rPr>
          <w:sz w:val="24"/>
          <w:szCs w:val="24"/>
        </w:rPr>
        <w:t xml:space="preserve">Документи </w:t>
      </w:r>
      <w:r w:rsidR="00673459">
        <w:rPr>
          <w:sz w:val="24"/>
          <w:szCs w:val="24"/>
        </w:rPr>
        <w:t xml:space="preserve"> </w:t>
      </w:r>
      <w:r w:rsidR="00A87FE9">
        <w:rPr>
          <w:sz w:val="24"/>
          <w:szCs w:val="24"/>
        </w:rPr>
        <w:t>в подкрепа на иновативността на внедрявания продукт (стока или услуга) или процес, описана</w:t>
      </w:r>
      <w:r w:rsidR="002B7139">
        <w:rPr>
          <w:sz w:val="24"/>
          <w:szCs w:val="24"/>
        </w:rPr>
        <w:t xml:space="preserve"> в Формуляра за кандидатстване</w:t>
      </w:r>
      <w:r w:rsidR="00727F29">
        <w:rPr>
          <w:sz w:val="24"/>
          <w:szCs w:val="24"/>
        </w:rPr>
        <w:t xml:space="preserve"> – </w:t>
      </w:r>
      <w:r w:rsidR="00727F29" w:rsidRPr="00DA3A3D">
        <w:rPr>
          <w:b/>
          <w:sz w:val="24"/>
          <w:szCs w:val="24"/>
        </w:rPr>
        <w:t xml:space="preserve"> </w:t>
      </w:r>
      <w:r w:rsidR="00D554D7">
        <w:rPr>
          <w:b/>
          <w:sz w:val="24"/>
          <w:szCs w:val="24"/>
        </w:rPr>
        <w:t>подписан</w:t>
      </w:r>
      <w:r w:rsidR="00351B4C">
        <w:rPr>
          <w:b/>
          <w:sz w:val="24"/>
          <w:szCs w:val="24"/>
        </w:rPr>
        <w:t>и</w:t>
      </w:r>
      <w:r w:rsidR="00D554D7">
        <w:rPr>
          <w:b/>
          <w:sz w:val="24"/>
          <w:szCs w:val="24"/>
        </w:rPr>
        <w:t xml:space="preserve"> с КЕП и</w:t>
      </w:r>
      <w:r w:rsidR="00727F29" w:rsidRPr="00DA3A3D">
        <w:rPr>
          <w:b/>
          <w:sz w:val="24"/>
          <w:szCs w:val="24"/>
        </w:rPr>
        <w:t xml:space="preserve"> прикачен</w:t>
      </w:r>
      <w:r w:rsidR="00351B4C">
        <w:rPr>
          <w:b/>
          <w:sz w:val="24"/>
          <w:szCs w:val="24"/>
        </w:rPr>
        <w:t>и</w:t>
      </w:r>
      <w:r w:rsidR="00727F29" w:rsidRPr="00DA3A3D">
        <w:rPr>
          <w:b/>
          <w:sz w:val="24"/>
          <w:szCs w:val="24"/>
        </w:rPr>
        <w:t xml:space="preserve"> в ИСУН 2020:</w:t>
      </w:r>
    </w:p>
    <w:p w:rsidR="00E02109" w:rsidRPr="00E02109" w:rsidRDefault="002A5C07" w:rsidP="002A5C07">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E02109">
        <w:rPr>
          <w:sz w:val="24"/>
          <w:szCs w:val="24"/>
        </w:rPr>
        <w:t xml:space="preserve">- </w:t>
      </w:r>
      <w:r w:rsidR="00E02109">
        <w:rPr>
          <w:sz w:val="24"/>
          <w:szCs w:val="24"/>
        </w:rPr>
        <w:t>патент;</w:t>
      </w:r>
    </w:p>
    <w:p w:rsidR="00E02109" w:rsidRDefault="00E02109"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E02109">
        <w:rPr>
          <w:sz w:val="24"/>
          <w:szCs w:val="24"/>
        </w:rPr>
        <w:t xml:space="preserve">- </w:t>
      </w:r>
      <w:r w:rsidR="002A5C07" w:rsidRPr="00E02109">
        <w:rPr>
          <w:sz w:val="24"/>
          <w:szCs w:val="24"/>
        </w:rPr>
        <w:t>свидетелство за регистрация на полезен модел за иновацията, внедря</w:t>
      </w:r>
      <w:r w:rsidRPr="00E02109">
        <w:rPr>
          <w:sz w:val="24"/>
          <w:szCs w:val="24"/>
        </w:rPr>
        <w:t>вана по проекта</w:t>
      </w:r>
      <w:r>
        <w:rPr>
          <w:sz w:val="24"/>
          <w:szCs w:val="24"/>
        </w:rPr>
        <w:t>;</w:t>
      </w:r>
      <w:r w:rsidRPr="00E02109">
        <w:rPr>
          <w:sz w:val="24"/>
          <w:szCs w:val="24"/>
        </w:rPr>
        <w:t xml:space="preserve"> </w:t>
      </w:r>
    </w:p>
    <w:p w:rsidR="00E02109" w:rsidRPr="00E02109" w:rsidRDefault="002A5C07"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E02109">
        <w:rPr>
          <w:sz w:val="24"/>
          <w:szCs w:val="24"/>
        </w:rPr>
        <w:t>- свидетелство за реги</w:t>
      </w:r>
      <w:r w:rsidR="00E02109">
        <w:rPr>
          <w:sz w:val="24"/>
          <w:szCs w:val="24"/>
        </w:rPr>
        <w:t>страция на промишлен дизайн;</w:t>
      </w:r>
    </w:p>
    <w:p w:rsidR="00E02109" w:rsidRPr="00733A73" w:rsidRDefault="00ED0594"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lastRenderedPageBreak/>
        <w:t>-</w:t>
      </w:r>
      <w:r w:rsidR="00733A73">
        <w:rPr>
          <w:sz w:val="24"/>
          <w:szCs w:val="24"/>
        </w:rPr>
        <w:t xml:space="preserve"> </w:t>
      </w:r>
      <w:r w:rsidR="002A5C07" w:rsidRPr="00733A73">
        <w:rPr>
          <w:sz w:val="24"/>
          <w:szCs w:val="24"/>
        </w:rPr>
        <w:t>заявка за патент за изобретение/свидетелство за регистра</w:t>
      </w:r>
      <w:r w:rsidR="00544C16" w:rsidRPr="00733A73">
        <w:rPr>
          <w:sz w:val="24"/>
          <w:szCs w:val="24"/>
        </w:rPr>
        <w:t>ция на полезен модел</w:t>
      </w:r>
      <w:r w:rsidR="002A5C07" w:rsidRPr="00733A73">
        <w:rPr>
          <w:sz w:val="24"/>
          <w:szCs w:val="24"/>
        </w:rPr>
        <w:t>/свидетелство за реги</w:t>
      </w:r>
      <w:r w:rsidR="00E02109" w:rsidRPr="00733A73">
        <w:rPr>
          <w:sz w:val="24"/>
          <w:szCs w:val="24"/>
        </w:rPr>
        <w:t>страция на промишлен дизайн или</w:t>
      </w:r>
    </w:p>
    <w:p w:rsidR="00E02109" w:rsidRPr="00733A73" w:rsidRDefault="002A5C07"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лицензионен договор, с който се разрешава използването на съответния обект н</w:t>
      </w:r>
      <w:r w:rsidR="00544C16" w:rsidRPr="00733A73">
        <w:rPr>
          <w:sz w:val="24"/>
          <w:szCs w:val="24"/>
        </w:rPr>
        <w:t>а интелектуална собственост;</w:t>
      </w:r>
    </w:p>
    <w:p w:rsidR="00E02109" w:rsidRPr="00733A73" w:rsidRDefault="002A5C07"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догово</w:t>
      </w:r>
      <w:r w:rsidR="00544C16" w:rsidRPr="00733A73">
        <w:rPr>
          <w:sz w:val="24"/>
          <w:szCs w:val="24"/>
        </w:rPr>
        <w:t xml:space="preserve">р за прехвърляне на </w:t>
      </w:r>
      <w:proofErr w:type="spellStart"/>
      <w:r w:rsidR="00544C16" w:rsidRPr="00733A73">
        <w:rPr>
          <w:sz w:val="24"/>
          <w:szCs w:val="24"/>
        </w:rPr>
        <w:t>ноу-хау</w:t>
      </w:r>
      <w:proofErr w:type="spellEnd"/>
      <w:r w:rsidR="00544C16" w:rsidRPr="00733A73">
        <w:rPr>
          <w:sz w:val="24"/>
          <w:szCs w:val="24"/>
        </w:rPr>
        <w:t>;</w:t>
      </w:r>
    </w:p>
    <w:p w:rsidR="00E02109" w:rsidRPr="00733A73" w:rsidRDefault="002A5C07"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договор за прехвърляне на права п</w:t>
      </w:r>
      <w:r w:rsidR="00544C16" w:rsidRPr="00733A73">
        <w:rPr>
          <w:sz w:val="24"/>
          <w:szCs w:val="24"/>
        </w:rPr>
        <w:t>о интелектуална собственост;</w:t>
      </w:r>
    </w:p>
    <w:p w:rsidR="00ED0594" w:rsidRPr="00733A73" w:rsidRDefault="00494723"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декларация за</w:t>
      </w:r>
      <w:r w:rsidR="00054164" w:rsidRPr="00733A73">
        <w:rPr>
          <w:sz w:val="24"/>
          <w:szCs w:val="24"/>
        </w:rPr>
        <w:t xml:space="preserve"> </w:t>
      </w:r>
      <w:r w:rsidR="00823293" w:rsidRPr="00733A73">
        <w:rPr>
          <w:sz w:val="24"/>
          <w:szCs w:val="24"/>
        </w:rPr>
        <w:t>авторски права върху произведението предмет на внедряваната иновация</w:t>
      </w:r>
      <w:r w:rsidR="00054164" w:rsidRPr="00733A73">
        <w:rPr>
          <w:sz w:val="24"/>
          <w:szCs w:val="24"/>
        </w:rPr>
        <w:t xml:space="preserve"> – Раздел 2 от Приложение </w:t>
      </w:r>
      <w:r w:rsidR="00420E72" w:rsidRPr="00733A73">
        <w:rPr>
          <w:sz w:val="24"/>
          <w:szCs w:val="24"/>
        </w:rPr>
        <w:t>Ж.</w:t>
      </w:r>
    </w:p>
    <w:p w:rsidR="00E02109" w:rsidRPr="00733A73" w:rsidRDefault="002A5C07" w:rsidP="00E02109">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договор за придо</w:t>
      </w:r>
      <w:r w:rsidR="00544C16" w:rsidRPr="00733A73">
        <w:rPr>
          <w:sz w:val="24"/>
          <w:szCs w:val="24"/>
        </w:rPr>
        <w:t>биване на резултати от НИРД;</w:t>
      </w:r>
    </w:p>
    <w:p w:rsidR="00ED0594" w:rsidRPr="00733A73" w:rsidRDefault="002A5C07"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 техническа документация, публикации, доклади, резултати от проведени тестове, изследвания, независими становища/оце</w:t>
      </w:r>
      <w:r w:rsidR="00ED0594" w:rsidRPr="00733A73">
        <w:rPr>
          <w:sz w:val="24"/>
          <w:szCs w:val="24"/>
        </w:rPr>
        <w:t>нки от компетентни организации</w:t>
      </w:r>
      <w:r w:rsidR="008823F6">
        <w:rPr>
          <w:sz w:val="24"/>
          <w:szCs w:val="24"/>
        </w:rPr>
        <w:t>, упражняващи своята основна дейност</w:t>
      </w:r>
      <w:r w:rsidR="00ED0594" w:rsidRPr="00733A73">
        <w:rPr>
          <w:sz w:val="24"/>
          <w:szCs w:val="24"/>
        </w:rPr>
        <w:t xml:space="preserve"> в </w:t>
      </w:r>
      <w:r w:rsidR="008823F6">
        <w:rPr>
          <w:sz w:val="24"/>
          <w:szCs w:val="24"/>
        </w:rPr>
        <w:t xml:space="preserve">приоритетното направление на тематичната </w:t>
      </w:r>
      <w:r w:rsidR="00ED0594" w:rsidRPr="00733A73">
        <w:rPr>
          <w:sz w:val="24"/>
          <w:szCs w:val="24"/>
        </w:rPr>
        <w:t>област</w:t>
      </w:r>
      <w:r w:rsidR="008823F6">
        <w:rPr>
          <w:sz w:val="24"/>
          <w:szCs w:val="24"/>
        </w:rPr>
        <w:t xml:space="preserve"> на ИСИС, в рамките на </w:t>
      </w:r>
      <w:r w:rsidR="00B626B8">
        <w:rPr>
          <w:sz w:val="24"/>
          <w:szCs w:val="24"/>
        </w:rPr>
        <w:t>което ще бъде реализирана</w:t>
      </w:r>
      <w:r w:rsidR="008823F6">
        <w:rPr>
          <w:sz w:val="24"/>
          <w:szCs w:val="24"/>
        </w:rPr>
        <w:t xml:space="preserve"> </w:t>
      </w:r>
      <w:r w:rsidR="00ED0594" w:rsidRPr="00733A73">
        <w:rPr>
          <w:sz w:val="24"/>
          <w:szCs w:val="24"/>
        </w:rPr>
        <w:t>иновацията;</w:t>
      </w:r>
    </w:p>
    <w:p w:rsidR="000168B4" w:rsidRDefault="00ED0594"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sz w:val="24"/>
          <w:szCs w:val="24"/>
        </w:rPr>
        <w:t>-</w:t>
      </w:r>
      <w:r w:rsidR="00A17D9D" w:rsidRPr="00733A73">
        <w:rPr>
          <w:sz w:val="24"/>
          <w:szCs w:val="24"/>
        </w:rPr>
        <w:t>сключен</w:t>
      </w:r>
      <w:r w:rsidR="002A5C07" w:rsidRPr="00733A73">
        <w:rPr>
          <w:sz w:val="24"/>
          <w:szCs w:val="24"/>
        </w:rPr>
        <w:t xml:space="preserve"> договор за прехвърляне на права по интелектуална собственост, удостоверяващ, че за внедряването на определени продукти</w:t>
      </w:r>
      <w:r w:rsidR="00662898" w:rsidRPr="00733A73">
        <w:rPr>
          <w:sz w:val="24"/>
          <w:szCs w:val="24"/>
        </w:rPr>
        <w:t xml:space="preserve"> </w:t>
      </w:r>
      <w:r w:rsidR="002A5C07" w:rsidRPr="00733A73">
        <w:rPr>
          <w:sz w:val="24"/>
          <w:szCs w:val="24"/>
        </w:rPr>
        <w:t xml:space="preserve">(стоки или услуги) или процеси, кандидатът ще придобие от трето лице чрез закупуване или по друг законосъобразен начин права по интелектуална </w:t>
      </w:r>
      <w:r w:rsidRPr="00733A73">
        <w:rPr>
          <w:sz w:val="24"/>
          <w:szCs w:val="24"/>
        </w:rPr>
        <w:t>собственост в рамките на проект</w:t>
      </w:r>
      <w:r w:rsidR="0097374B" w:rsidRPr="00733A73">
        <w:rPr>
          <w:sz w:val="24"/>
          <w:szCs w:val="24"/>
        </w:rPr>
        <w:t>а;</w:t>
      </w:r>
    </w:p>
    <w:p w:rsidR="0097374B" w:rsidRDefault="00E34D7E"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B183A">
        <w:rPr>
          <w:b/>
          <w:sz w:val="24"/>
          <w:szCs w:val="24"/>
        </w:rPr>
        <w:t>Важно:</w:t>
      </w:r>
      <w:r>
        <w:rPr>
          <w:sz w:val="24"/>
          <w:szCs w:val="24"/>
        </w:rPr>
        <w:t xml:space="preserve"> Договорът не следва да </w:t>
      </w:r>
      <w:r w:rsidRPr="00E34D7E">
        <w:rPr>
          <w:sz w:val="24"/>
          <w:szCs w:val="24"/>
        </w:rPr>
        <w:t xml:space="preserve">съдържа </w:t>
      </w:r>
      <w:proofErr w:type="spellStart"/>
      <w:r w:rsidRPr="00E34D7E">
        <w:rPr>
          <w:sz w:val="24"/>
          <w:szCs w:val="24"/>
        </w:rPr>
        <w:t>правнообвързващ</w:t>
      </w:r>
      <w:proofErr w:type="spellEnd"/>
      <w:r w:rsidRPr="00E34D7E">
        <w:rPr>
          <w:sz w:val="24"/>
          <w:szCs w:val="24"/>
        </w:rPr>
        <w:t xml:space="preserve"> ангажимент, който прави инвестицията (придобиването на правото по интелектуална собственост) преди подаване на проектното предложение необратима. Договорът не би съдържал описания </w:t>
      </w:r>
      <w:proofErr w:type="spellStart"/>
      <w:r w:rsidRPr="00E34D7E">
        <w:rPr>
          <w:sz w:val="24"/>
          <w:szCs w:val="24"/>
        </w:rPr>
        <w:t>правнообвързващ</w:t>
      </w:r>
      <w:proofErr w:type="spellEnd"/>
      <w:r w:rsidRPr="00E34D7E">
        <w:rPr>
          <w:sz w:val="24"/>
          <w:szCs w:val="24"/>
        </w:rPr>
        <w:t xml:space="preserve"> ангажимент, когато прекратяването на договора няма да доведе до значителни загуби за кандидата и когато съдържа клауза</w:t>
      </w:r>
      <w:r>
        <w:rPr>
          <w:sz w:val="24"/>
          <w:szCs w:val="24"/>
        </w:rPr>
        <w:t>,</w:t>
      </w:r>
      <w:r w:rsidRPr="00E34D7E">
        <w:rPr>
          <w:sz w:val="24"/>
          <w:szCs w:val="24"/>
        </w:rPr>
        <w:t xml:space="preserve"> съгласно която същият влиза в сила след и при условие на подаването/одобрението на проектното предложение по настоящата процедура.</w:t>
      </w:r>
    </w:p>
    <w:p w:rsidR="00E34D7E" w:rsidRDefault="00E34D7E"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p>
    <w:p w:rsidR="0097374B" w:rsidRDefault="00E4432E"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r w:rsidRPr="00733A73">
        <w:rPr>
          <w:b/>
          <w:sz w:val="24"/>
          <w:szCs w:val="24"/>
        </w:rPr>
        <w:t>и</w:t>
      </w:r>
      <w:r w:rsidR="0097374B" w:rsidRPr="00733A73">
        <w:rPr>
          <w:b/>
          <w:sz w:val="24"/>
          <w:szCs w:val="24"/>
        </w:rPr>
        <w:t xml:space="preserve">/ </w:t>
      </w:r>
      <w:r w:rsidR="0097374B" w:rsidRPr="00733A73">
        <w:rPr>
          <w:sz w:val="24"/>
          <w:szCs w:val="24"/>
        </w:rPr>
        <w:t>Проучване</w:t>
      </w:r>
      <w:r w:rsidR="00066C64">
        <w:rPr>
          <w:sz w:val="24"/>
          <w:szCs w:val="24"/>
        </w:rPr>
        <w:t>/Удостоверение</w:t>
      </w:r>
      <w:r w:rsidR="0097374B" w:rsidRPr="00733A73">
        <w:rPr>
          <w:sz w:val="24"/>
          <w:szCs w:val="24"/>
        </w:rPr>
        <w:t xml:space="preserve"> за правен статус, издадено от Патентно ведомство</w:t>
      </w:r>
      <w:r w:rsidR="00A304A0" w:rsidRPr="00733A73">
        <w:rPr>
          <w:rStyle w:val="FootnoteReference"/>
          <w:sz w:val="24"/>
          <w:szCs w:val="24"/>
        </w:rPr>
        <w:footnoteReference w:id="26"/>
      </w:r>
      <w:r w:rsidR="0097374B" w:rsidRPr="00733A73">
        <w:rPr>
          <w:sz w:val="24"/>
          <w:szCs w:val="24"/>
        </w:rPr>
        <w:t xml:space="preserve"> – в случаите, когато кандидатът е представил патент за изобретение, свидетелство за регистрация на полезен модел, свидетелство за регистрация на промишлен дизайн или заявка за патент/полезен модел/промишлен дизайн </w:t>
      </w:r>
      <w:r w:rsidR="002D6BA6" w:rsidRPr="00733A73">
        <w:rPr>
          <w:sz w:val="24"/>
          <w:szCs w:val="24"/>
        </w:rPr>
        <w:t>–</w:t>
      </w:r>
      <w:r w:rsidR="0097374B" w:rsidRPr="00733A73">
        <w:rPr>
          <w:sz w:val="24"/>
          <w:szCs w:val="24"/>
        </w:rPr>
        <w:t xml:space="preserve"> </w:t>
      </w:r>
      <w:r w:rsidR="0097374B" w:rsidRPr="00733A73">
        <w:rPr>
          <w:b/>
          <w:sz w:val="24"/>
          <w:szCs w:val="24"/>
        </w:rPr>
        <w:t xml:space="preserve"> </w:t>
      </w:r>
      <w:r w:rsidR="00BE4F4F" w:rsidRPr="00733A73">
        <w:rPr>
          <w:b/>
          <w:sz w:val="24"/>
          <w:szCs w:val="24"/>
        </w:rPr>
        <w:t>подписан с КЕП</w:t>
      </w:r>
      <w:r w:rsidR="0097374B" w:rsidRPr="00733A73">
        <w:rPr>
          <w:b/>
          <w:sz w:val="24"/>
          <w:szCs w:val="24"/>
        </w:rPr>
        <w:t xml:space="preserve"> и прикачен в ИСУН 2020;</w:t>
      </w:r>
    </w:p>
    <w:p w:rsidR="00494723" w:rsidRPr="00ED0594" w:rsidRDefault="00494723" w:rsidP="00ED0594">
      <w:pPr>
        <w:pStyle w:val="ListParagraph"/>
        <w:pBdr>
          <w:top w:val="single" w:sz="4" w:space="1" w:color="auto"/>
          <w:left w:val="single" w:sz="4" w:space="4" w:color="auto"/>
          <w:bottom w:val="single" w:sz="4" w:space="8" w:color="auto"/>
          <w:right w:val="single" w:sz="4" w:space="4" w:color="auto"/>
        </w:pBdr>
        <w:spacing w:after="360" w:line="240" w:lineRule="auto"/>
        <w:ind w:left="0"/>
        <w:jc w:val="both"/>
        <w:rPr>
          <w:sz w:val="24"/>
          <w:szCs w:val="24"/>
        </w:rPr>
      </w:pPr>
    </w:p>
    <w:p w:rsidR="00756C87" w:rsidRPr="00BD3276" w:rsidRDefault="00E4432E"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й</w:t>
      </w:r>
      <w:r w:rsidR="00756C87" w:rsidRPr="00BD3276">
        <w:rPr>
          <w:b/>
          <w:sz w:val="24"/>
          <w:szCs w:val="24"/>
        </w:rPr>
        <w:t>/</w:t>
      </w:r>
      <w:r w:rsidR="00756C87" w:rsidRPr="00BD3276">
        <w:rPr>
          <w:sz w:val="24"/>
          <w:szCs w:val="24"/>
        </w:rPr>
        <w:t xml:space="preserve"> </w:t>
      </w:r>
      <w:r w:rsidR="00502BBF" w:rsidRPr="00BD3276">
        <w:rPr>
          <w:sz w:val="24"/>
          <w:szCs w:val="24"/>
        </w:rPr>
        <w:t xml:space="preserve">Удостоверение от Националния статистически институт (НСИ) относно кода на основната икономическа дейност на кандидата </w:t>
      </w:r>
      <w:r w:rsidR="00607B38" w:rsidRPr="00BD3276">
        <w:rPr>
          <w:sz w:val="24"/>
          <w:szCs w:val="24"/>
        </w:rPr>
        <w:t>(въз основа на данни</w:t>
      </w:r>
      <w:r w:rsidR="00E155F5" w:rsidRPr="00BD3276">
        <w:rPr>
          <w:sz w:val="24"/>
          <w:szCs w:val="24"/>
        </w:rPr>
        <w:t xml:space="preserve"> за </w:t>
      </w:r>
      <w:r w:rsidR="00607B38" w:rsidRPr="00BD3276">
        <w:rPr>
          <w:sz w:val="24"/>
          <w:szCs w:val="24"/>
        </w:rPr>
        <w:t>2014 г.</w:t>
      </w:r>
      <w:r w:rsidR="00502BBF" w:rsidRPr="00BD3276">
        <w:rPr>
          <w:sz w:val="24"/>
          <w:szCs w:val="24"/>
        </w:rPr>
        <w:t>)</w:t>
      </w:r>
      <w:r w:rsidR="000A3EB7">
        <w:rPr>
          <w:rStyle w:val="FootnoteReference"/>
          <w:sz w:val="24"/>
          <w:szCs w:val="24"/>
        </w:rPr>
        <w:footnoteReference w:id="27"/>
      </w:r>
      <w:r w:rsidR="001B1265" w:rsidRPr="00BD3276">
        <w:rPr>
          <w:sz w:val="24"/>
          <w:szCs w:val="24"/>
        </w:rPr>
        <w:t xml:space="preserve"> –</w:t>
      </w:r>
      <w:r w:rsidR="00117FC6" w:rsidRPr="00BD3276">
        <w:rPr>
          <w:b/>
          <w:sz w:val="24"/>
          <w:szCs w:val="24"/>
        </w:rPr>
        <w:t xml:space="preserve"> </w:t>
      </w:r>
      <w:r w:rsidR="00BE4F4F">
        <w:rPr>
          <w:b/>
          <w:sz w:val="24"/>
          <w:szCs w:val="24"/>
        </w:rPr>
        <w:t>подписан</w:t>
      </w:r>
      <w:r w:rsidR="00351B4C">
        <w:rPr>
          <w:b/>
          <w:sz w:val="24"/>
          <w:szCs w:val="24"/>
        </w:rPr>
        <w:t>о</w:t>
      </w:r>
      <w:r w:rsidR="00BE4F4F">
        <w:rPr>
          <w:b/>
          <w:sz w:val="24"/>
          <w:szCs w:val="24"/>
        </w:rPr>
        <w:t xml:space="preserve"> с КЕП</w:t>
      </w:r>
      <w:r w:rsidR="009E3EB9">
        <w:rPr>
          <w:b/>
          <w:sz w:val="24"/>
          <w:szCs w:val="24"/>
        </w:rPr>
        <w:t xml:space="preserve"> от лице с право да представлява кандидата</w:t>
      </w:r>
      <w:r w:rsidR="00DA3A3D" w:rsidRPr="00DA3A3D">
        <w:rPr>
          <w:b/>
          <w:sz w:val="24"/>
          <w:szCs w:val="24"/>
        </w:rPr>
        <w:t xml:space="preserve"> и прикачен в ИСУН 2020</w:t>
      </w:r>
      <w:r w:rsidR="001B1265" w:rsidRPr="00BD3276">
        <w:rPr>
          <w:sz w:val="24"/>
          <w:szCs w:val="24"/>
        </w:rPr>
        <w:t>;</w:t>
      </w:r>
    </w:p>
    <w:p w:rsidR="00502BBF" w:rsidRDefault="00E4432E" w:rsidP="005100FE">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Pr>
          <w:b/>
          <w:sz w:val="24"/>
          <w:szCs w:val="24"/>
        </w:rPr>
        <w:t>к</w:t>
      </w:r>
      <w:r w:rsidR="00C75FA6" w:rsidRPr="00BD3276">
        <w:rPr>
          <w:b/>
          <w:sz w:val="24"/>
          <w:szCs w:val="24"/>
        </w:rPr>
        <w:t>/</w:t>
      </w:r>
      <w:r w:rsidR="00C75FA6" w:rsidRPr="00BD3276">
        <w:rPr>
          <w:sz w:val="24"/>
          <w:szCs w:val="24"/>
        </w:rPr>
        <w:t xml:space="preserve"> Техническа спецификация на предвидените за закупуване ДМА и ДНА – по образец </w:t>
      </w:r>
      <w:r w:rsidR="00C75FA6" w:rsidRPr="00F25D45">
        <w:rPr>
          <w:sz w:val="24"/>
          <w:szCs w:val="24"/>
        </w:rPr>
        <w:t xml:space="preserve">Приложение </w:t>
      </w:r>
      <w:r w:rsidR="00152651" w:rsidRPr="00F25D45">
        <w:rPr>
          <w:sz w:val="24"/>
          <w:szCs w:val="24"/>
        </w:rPr>
        <w:t>Ц</w:t>
      </w:r>
      <w:r w:rsidR="004B73F1" w:rsidRPr="00F25D45">
        <w:rPr>
          <w:sz w:val="24"/>
          <w:szCs w:val="24"/>
        </w:rPr>
        <w:t>,</w:t>
      </w:r>
      <w:r w:rsidR="00703497" w:rsidRPr="00F25D45">
        <w:rPr>
          <w:sz w:val="24"/>
          <w:szCs w:val="24"/>
        </w:rPr>
        <w:t xml:space="preserve"> </w:t>
      </w:r>
      <w:r w:rsidR="00703497" w:rsidRPr="002D6BA6">
        <w:rPr>
          <w:b/>
          <w:sz w:val="24"/>
          <w:szCs w:val="24"/>
        </w:rPr>
        <w:t xml:space="preserve">подписана </w:t>
      </w:r>
      <w:r w:rsidR="008B071E" w:rsidRPr="002D6BA6">
        <w:rPr>
          <w:b/>
          <w:sz w:val="24"/>
          <w:szCs w:val="24"/>
        </w:rPr>
        <w:t xml:space="preserve">с КЕП </w:t>
      </w:r>
      <w:r w:rsidR="00703497" w:rsidRPr="002D6BA6">
        <w:rPr>
          <w:b/>
          <w:sz w:val="24"/>
          <w:szCs w:val="24"/>
        </w:rPr>
        <w:t>от лице с право да представлява кандидата</w:t>
      </w:r>
      <w:r w:rsidR="004B73F1" w:rsidRPr="002D6BA6">
        <w:rPr>
          <w:b/>
          <w:sz w:val="24"/>
          <w:szCs w:val="24"/>
        </w:rPr>
        <w:t xml:space="preserve"> </w:t>
      </w:r>
      <w:r w:rsidR="00F94264" w:rsidRPr="002D6BA6">
        <w:rPr>
          <w:b/>
          <w:sz w:val="24"/>
          <w:szCs w:val="24"/>
        </w:rPr>
        <w:t xml:space="preserve"> и </w:t>
      </w:r>
      <w:r w:rsidR="00F94264" w:rsidRPr="002D6BA6">
        <w:rPr>
          <w:b/>
          <w:sz w:val="24"/>
          <w:szCs w:val="24"/>
        </w:rPr>
        <w:lastRenderedPageBreak/>
        <w:t>прикач</w:t>
      </w:r>
      <w:r w:rsidR="00BE4F4F">
        <w:rPr>
          <w:b/>
          <w:sz w:val="24"/>
          <w:szCs w:val="24"/>
        </w:rPr>
        <w:t>ена</w:t>
      </w:r>
      <w:r w:rsidR="00F94264" w:rsidRPr="002D6BA6">
        <w:rPr>
          <w:b/>
          <w:sz w:val="24"/>
          <w:szCs w:val="24"/>
        </w:rPr>
        <w:t xml:space="preserve"> в ИСУН 2020</w:t>
      </w:r>
      <w:r w:rsidR="00C75FA6" w:rsidRPr="00F25D45">
        <w:rPr>
          <w:sz w:val="24"/>
          <w:szCs w:val="24"/>
        </w:rPr>
        <w:t>.</w:t>
      </w:r>
      <w:r w:rsidR="004E138E">
        <w:rPr>
          <w:sz w:val="24"/>
          <w:szCs w:val="24"/>
        </w:rPr>
        <w:t xml:space="preserve"> </w:t>
      </w:r>
      <w:r w:rsidR="004E138E" w:rsidRPr="004E138E">
        <w:rPr>
          <w:sz w:val="24"/>
          <w:szCs w:val="24"/>
        </w:rPr>
        <w:t>В случаите, когато кандидатът се представлява</w:t>
      </w:r>
      <w:r w:rsidR="004E138E" w:rsidRPr="004E138E">
        <w:rPr>
          <w:sz w:val="24"/>
          <w:szCs w:val="24"/>
          <w:u w:val="single"/>
        </w:rPr>
        <w:t xml:space="preserve"> заедно</w:t>
      </w:r>
      <w:r w:rsidR="004E138E" w:rsidRPr="004E138E">
        <w:rPr>
          <w:sz w:val="24"/>
          <w:szCs w:val="24"/>
        </w:rPr>
        <w:t xml:space="preserve"> от няколко физически лица, </w:t>
      </w:r>
      <w:r w:rsidR="004E138E">
        <w:rPr>
          <w:sz w:val="24"/>
          <w:szCs w:val="24"/>
        </w:rPr>
        <w:t xml:space="preserve"> техническата спецификация се подписва</w:t>
      </w:r>
      <w:r w:rsidR="004E138E" w:rsidRPr="004E138E">
        <w:rPr>
          <w:sz w:val="24"/>
          <w:szCs w:val="24"/>
        </w:rPr>
        <w:t xml:space="preserve"> от всяко от тях.</w:t>
      </w:r>
    </w:p>
    <w:p w:rsidR="00EB18CB" w:rsidRPr="00F25D45" w:rsidRDefault="00EB18CB" w:rsidP="005100FE">
      <w:pPr>
        <w:pBdr>
          <w:top w:val="single" w:sz="4" w:space="1" w:color="auto"/>
          <w:left w:val="single" w:sz="4" w:space="4" w:color="auto"/>
          <w:bottom w:val="single" w:sz="4" w:space="1" w:color="auto"/>
          <w:right w:val="single" w:sz="4" w:space="4" w:color="auto"/>
        </w:pBdr>
        <w:spacing w:after="360" w:line="240" w:lineRule="auto"/>
        <w:jc w:val="both"/>
        <w:rPr>
          <w:sz w:val="24"/>
          <w:szCs w:val="24"/>
        </w:rPr>
      </w:pPr>
      <w:r w:rsidRPr="00EB18CB">
        <w:rPr>
          <w:b/>
          <w:sz w:val="24"/>
          <w:szCs w:val="24"/>
        </w:rPr>
        <w:t xml:space="preserve">ВАЖНО: </w:t>
      </w:r>
      <w:r w:rsidRPr="00EB18CB">
        <w:rPr>
          <w:sz w:val="24"/>
          <w:szCs w:val="24"/>
        </w:rPr>
        <w:t xml:space="preserve">В случай че </w:t>
      </w:r>
      <w:r>
        <w:rPr>
          <w:sz w:val="24"/>
          <w:szCs w:val="24"/>
        </w:rPr>
        <w:t>Техническата спецификация</w:t>
      </w:r>
      <w:r w:rsidRPr="00EB18CB">
        <w:rPr>
          <w:sz w:val="24"/>
          <w:szCs w:val="24"/>
        </w:rPr>
        <w:t xml:space="preserve"> (</w:t>
      </w:r>
      <w:r>
        <w:rPr>
          <w:bCs/>
          <w:sz w:val="24"/>
          <w:szCs w:val="24"/>
        </w:rPr>
        <w:t>Приложение Ц</w:t>
      </w:r>
      <w:r w:rsidRPr="00EB18CB">
        <w:rPr>
          <w:bCs/>
          <w:sz w:val="24"/>
          <w:szCs w:val="24"/>
        </w:rPr>
        <w:t>) не е представен</w:t>
      </w:r>
      <w:r>
        <w:rPr>
          <w:bCs/>
          <w:sz w:val="24"/>
          <w:szCs w:val="24"/>
        </w:rPr>
        <w:t>а</w:t>
      </w:r>
      <w:r w:rsidRPr="00EB18CB">
        <w:rPr>
          <w:bCs/>
          <w:sz w:val="24"/>
          <w:szCs w:val="24"/>
        </w:rPr>
        <w:t xml:space="preserve"> в изискуемия образец</w:t>
      </w:r>
      <w:r>
        <w:rPr>
          <w:sz w:val="24"/>
          <w:szCs w:val="24"/>
        </w:rPr>
        <w:t>, документът</w:t>
      </w:r>
      <w:r w:rsidRPr="00EB18CB">
        <w:rPr>
          <w:sz w:val="24"/>
          <w:szCs w:val="24"/>
        </w:rPr>
        <w:t xml:space="preserve"> не може да бъде допълнително изискван от кандидатите и проектното предложение ще бъде отхвърлено, тъй като допълнителното му представяне ще доведе до подобряване на качеството на проектното предложение и до нарушаване на принципите по чл. 10 от ПМС 107/2014 г.</w:t>
      </w:r>
    </w:p>
    <w:p w:rsidR="00502BBF" w:rsidRPr="00F25D45" w:rsidRDefault="00E4432E"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5D45">
        <w:rPr>
          <w:b/>
          <w:sz w:val="24"/>
          <w:szCs w:val="24"/>
        </w:rPr>
        <w:t>л</w:t>
      </w:r>
      <w:r w:rsidR="00502BBF" w:rsidRPr="00F25D45">
        <w:rPr>
          <w:b/>
          <w:sz w:val="24"/>
          <w:szCs w:val="24"/>
        </w:rPr>
        <w:t xml:space="preserve">/ </w:t>
      </w:r>
      <w:r w:rsidR="00502BBF" w:rsidRPr="00F25D45">
        <w:rPr>
          <w:sz w:val="24"/>
          <w:szCs w:val="24"/>
        </w:rPr>
        <w:t>Оферта и/или извлечение от каталог на производител/ доставчик и/или проучване в интернет</w:t>
      </w:r>
      <w:r w:rsidR="00502BBF" w:rsidRPr="00F25D45">
        <w:rPr>
          <w:sz w:val="24"/>
          <w:szCs w:val="24"/>
          <w:vertAlign w:val="superscript"/>
        </w:rPr>
        <w:footnoteReference w:id="28"/>
      </w:r>
      <w:r w:rsidR="00502BBF" w:rsidRPr="00F25D45">
        <w:rPr>
          <w:sz w:val="24"/>
          <w:szCs w:val="24"/>
        </w:rPr>
        <w:t xml:space="preserve"> за всяка отделна инвестиция в активи – ДМА и ДНА с предложена цена от производителя/доставчика</w:t>
      </w:r>
      <w:r w:rsidR="00A25B33" w:rsidRPr="00F25D45">
        <w:rPr>
          <w:rStyle w:val="FootnoteReference"/>
          <w:sz w:val="24"/>
          <w:szCs w:val="24"/>
        </w:rPr>
        <w:footnoteReference w:id="29"/>
      </w:r>
      <w:r w:rsidR="00280D62" w:rsidRPr="00F25D45">
        <w:rPr>
          <w:sz w:val="24"/>
          <w:szCs w:val="24"/>
        </w:rPr>
        <w:t xml:space="preserve"> </w:t>
      </w:r>
      <w:r w:rsidR="00502BBF" w:rsidRPr="00F25D45">
        <w:rPr>
          <w:sz w:val="24"/>
          <w:szCs w:val="24"/>
        </w:rPr>
        <w:t xml:space="preserve">– </w:t>
      </w:r>
      <w:r w:rsidR="00F94264" w:rsidRPr="00F25D45">
        <w:rPr>
          <w:b/>
          <w:sz w:val="24"/>
          <w:szCs w:val="24"/>
        </w:rPr>
        <w:t xml:space="preserve"> </w:t>
      </w:r>
      <w:r w:rsidR="00D1187B">
        <w:rPr>
          <w:b/>
          <w:sz w:val="24"/>
          <w:szCs w:val="24"/>
        </w:rPr>
        <w:t>подписан с КЕП</w:t>
      </w:r>
      <w:r w:rsidR="004E138E">
        <w:rPr>
          <w:b/>
          <w:sz w:val="24"/>
          <w:szCs w:val="24"/>
        </w:rPr>
        <w:t xml:space="preserve"> от лице с право да представлява кандидата</w:t>
      </w:r>
      <w:r w:rsidR="00F94264" w:rsidRPr="00F25D45">
        <w:rPr>
          <w:b/>
          <w:sz w:val="24"/>
          <w:szCs w:val="24"/>
        </w:rPr>
        <w:t xml:space="preserve"> и прикачен в ИСУН 2020</w:t>
      </w:r>
      <w:r w:rsidR="00502BBF" w:rsidRPr="00F25D45">
        <w:rPr>
          <w:sz w:val="24"/>
          <w:szCs w:val="24"/>
        </w:rPr>
        <w:t>.</w:t>
      </w:r>
    </w:p>
    <w:p w:rsidR="003751EC" w:rsidRPr="00F25D45" w:rsidRDefault="003751EC" w:rsidP="004A58E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A36323" w:rsidRPr="00BD3276" w:rsidRDefault="00A36323" w:rsidP="00A3632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F25D45">
        <w:rPr>
          <w:b/>
          <w:sz w:val="24"/>
          <w:szCs w:val="24"/>
        </w:rPr>
        <w:t>ВАЖНО:</w:t>
      </w:r>
      <w:r w:rsidRPr="00F25D45">
        <w:rPr>
          <w:sz w:val="24"/>
          <w:szCs w:val="24"/>
        </w:rPr>
        <w:t xml:space="preserve"> Документите по буква </w:t>
      </w:r>
      <w:r w:rsidR="00CA676D">
        <w:rPr>
          <w:sz w:val="24"/>
          <w:szCs w:val="24"/>
        </w:rPr>
        <w:t>л</w:t>
      </w:r>
      <w:r w:rsidR="00E84C58" w:rsidRPr="00F25D45">
        <w:rPr>
          <w:sz w:val="24"/>
          <w:szCs w:val="24"/>
        </w:rPr>
        <w:t xml:space="preserve">/ </w:t>
      </w:r>
      <w:r w:rsidRPr="00F25D45">
        <w:rPr>
          <w:sz w:val="24"/>
          <w:szCs w:val="24"/>
        </w:rPr>
        <w:t xml:space="preserve">трябва да съдържат информация за: наименование на </w:t>
      </w:r>
      <w:proofErr w:type="spellStart"/>
      <w:r w:rsidRPr="00F25D45">
        <w:rPr>
          <w:sz w:val="24"/>
          <w:szCs w:val="24"/>
        </w:rPr>
        <w:t>оферента</w:t>
      </w:r>
      <w:proofErr w:type="spellEnd"/>
      <w:r w:rsidRPr="00F25D45">
        <w:rPr>
          <w:sz w:val="24"/>
          <w:szCs w:val="24"/>
        </w:rPr>
        <w:t>; технически и</w:t>
      </w:r>
      <w:r w:rsidR="00C437F3">
        <w:rPr>
          <w:sz w:val="24"/>
          <w:szCs w:val="24"/>
        </w:rPr>
        <w:t>/или</w:t>
      </w:r>
      <w:r w:rsidRPr="00F25D45">
        <w:rPr>
          <w:sz w:val="24"/>
          <w:szCs w:val="24"/>
        </w:rPr>
        <w:t xml:space="preserve"> функционални характеристики на оборудването</w:t>
      </w:r>
      <w:r w:rsidR="00CA676D">
        <w:rPr>
          <w:sz w:val="24"/>
          <w:szCs w:val="24"/>
        </w:rPr>
        <w:t>,</w:t>
      </w:r>
      <w:r w:rsidRPr="00F25D45">
        <w:rPr>
          <w:sz w:val="24"/>
          <w:szCs w:val="24"/>
        </w:rPr>
        <w:t xml:space="preserve"> </w:t>
      </w:r>
      <w:r w:rsidR="00E842CF" w:rsidRPr="00F25D45">
        <w:rPr>
          <w:sz w:val="24"/>
          <w:szCs w:val="24"/>
        </w:rPr>
        <w:t xml:space="preserve">съответстващи </w:t>
      </w:r>
      <w:r w:rsidR="00CB37C6" w:rsidRPr="00F25D45">
        <w:rPr>
          <w:sz w:val="24"/>
          <w:szCs w:val="24"/>
        </w:rPr>
        <w:t xml:space="preserve">на </w:t>
      </w:r>
      <w:r w:rsidRPr="00F25D45">
        <w:rPr>
          <w:sz w:val="24"/>
          <w:szCs w:val="24"/>
        </w:rPr>
        <w:t xml:space="preserve">посочените в </w:t>
      </w:r>
      <w:r w:rsidR="00CB37C6" w:rsidRPr="00F25D45">
        <w:rPr>
          <w:sz w:val="24"/>
          <w:szCs w:val="24"/>
        </w:rPr>
        <w:t>Приложение</w:t>
      </w:r>
      <w:r w:rsidR="003751EC" w:rsidRPr="00F25D45">
        <w:rPr>
          <w:sz w:val="24"/>
          <w:szCs w:val="24"/>
        </w:rPr>
        <w:t xml:space="preserve"> </w:t>
      </w:r>
      <w:r w:rsidR="00E12643" w:rsidRPr="00F25D45">
        <w:rPr>
          <w:sz w:val="24"/>
          <w:szCs w:val="24"/>
        </w:rPr>
        <w:t>Ц</w:t>
      </w:r>
      <w:r w:rsidR="003751EC" w:rsidRPr="00F25D45">
        <w:rPr>
          <w:sz w:val="24"/>
          <w:szCs w:val="24"/>
        </w:rPr>
        <w:t xml:space="preserve"> </w:t>
      </w:r>
      <w:r w:rsidRPr="00F25D45">
        <w:rPr>
          <w:sz w:val="24"/>
          <w:szCs w:val="24"/>
        </w:rPr>
        <w:t>минимални технически и</w:t>
      </w:r>
      <w:r w:rsidR="00C437F3">
        <w:rPr>
          <w:sz w:val="24"/>
          <w:szCs w:val="24"/>
        </w:rPr>
        <w:t>/или</w:t>
      </w:r>
      <w:r w:rsidRPr="00F25D45">
        <w:rPr>
          <w:sz w:val="24"/>
          <w:szCs w:val="24"/>
        </w:rPr>
        <w:t xml:space="preserve"> функционални характеристики, цена на оборудването и вид на валутата.</w:t>
      </w:r>
    </w:p>
    <w:p w:rsidR="00A36323" w:rsidRPr="00BD3276" w:rsidRDefault="00A36323" w:rsidP="00A3632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В случай че кандидатът представя оферта, от нея следва да е видно лицето, което я е издало от името на </w:t>
      </w:r>
      <w:proofErr w:type="spellStart"/>
      <w:r w:rsidRPr="00BD3276">
        <w:rPr>
          <w:sz w:val="24"/>
          <w:szCs w:val="24"/>
        </w:rPr>
        <w:t>оферента</w:t>
      </w:r>
      <w:proofErr w:type="spellEnd"/>
      <w:r w:rsidRPr="00BD3276">
        <w:rPr>
          <w:sz w:val="24"/>
          <w:szCs w:val="24"/>
        </w:rPr>
        <w:t>, като напр. подпис, електронен подпис или  разпечатка на електронно съобщение, с което е получена.</w:t>
      </w:r>
    </w:p>
    <w:p w:rsidR="00A36323" w:rsidRPr="00BD3276" w:rsidRDefault="00A36323" w:rsidP="00F0096E">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sidRPr="00BD3276">
        <w:rPr>
          <w:sz w:val="24"/>
          <w:szCs w:val="24"/>
        </w:rPr>
        <w:t xml:space="preserve">В случай че кандидатът представя проучвания в интернет, </w:t>
      </w:r>
      <w:r w:rsidR="00E814E7" w:rsidRPr="00BD3276">
        <w:rPr>
          <w:sz w:val="24"/>
          <w:szCs w:val="24"/>
        </w:rPr>
        <w:t xml:space="preserve">той </w:t>
      </w:r>
      <w:r w:rsidRPr="00BD3276">
        <w:rPr>
          <w:sz w:val="24"/>
          <w:szCs w:val="24"/>
        </w:rPr>
        <w:t>следва да приложи разпечатка на съответната интернет страница на производителя/доставчика</w:t>
      </w:r>
      <w:r w:rsidR="004B73F1" w:rsidRPr="00BD3276">
        <w:rPr>
          <w:sz w:val="24"/>
          <w:szCs w:val="24"/>
        </w:rPr>
        <w:t xml:space="preserve">, </w:t>
      </w:r>
      <w:r w:rsidR="006E5D7B" w:rsidRPr="006E5D7B">
        <w:rPr>
          <w:rFonts w:ascii="Calibri" w:eastAsia="Calibri" w:hAnsi="Calibri" w:cs="Times New Roman"/>
          <w:sz w:val="24"/>
          <w:szCs w:val="24"/>
        </w:rPr>
        <w:t>подписана с КЕП от лице с право да представлява кандидата и прикачена в ИСУН 2020</w:t>
      </w:r>
      <w:r w:rsidRPr="00BD3276">
        <w:rPr>
          <w:sz w:val="24"/>
          <w:szCs w:val="24"/>
        </w:rPr>
        <w:t>.</w:t>
      </w:r>
    </w:p>
    <w:p w:rsidR="00783745" w:rsidRPr="00BD3276" w:rsidRDefault="00783745" w:rsidP="0078374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783745" w:rsidRPr="00BD3276" w:rsidRDefault="00E4432E" w:rsidP="00B425EA">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Pr>
          <w:b/>
          <w:sz w:val="24"/>
          <w:szCs w:val="24"/>
        </w:rPr>
        <w:t>м</w:t>
      </w:r>
      <w:r w:rsidR="00783745" w:rsidRPr="00BD3276">
        <w:rPr>
          <w:b/>
          <w:sz w:val="24"/>
          <w:szCs w:val="24"/>
        </w:rPr>
        <w:t>/</w:t>
      </w:r>
      <w:r w:rsidR="00783745" w:rsidRPr="00BD3276">
        <w:rPr>
          <w:sz w:val="24"/>
          <w:szCs w:val="24"/>
        </w:rPr>
        <w:t xml:space="preserve"> Отчет за приходите и разходите и Счетоводен баланс за 2012 г., 2013 г. и 2014 г</w:t>
      </w:r>
      <w:r w:rsidR="00454211" w:rsidRPr="00BD3276">
        <w:rPr>
          <w:sz w:val="24"/>
          <w:szCs w:val="24"/>
        </w:rPr>
        <w:t>.</w:t>
      </w:r>
      <w:r w:rsidR="00D01B3A" w:rsidRPr="00BD3276">
        <w:rPr>
          <w:rStyle w:val="FootnoteReference"/>
          <w:sz w:val="24"/>
          <w:szCs w:val="24"/>
        </w:rPr>
        <w:footnoteReference w:id="30"/>
      </w:r>
      <w:r w:rsidR="00783745" w:rsidRPr="00BD3276">
        <w:rPr>
          <w:sz w:val="24"/>
          <w:szCs w:val="24"/>
        </w:rPr>
        <w:t xml:space="preserve">  (индивидуален)</w:t>
      </w:r>
      <w:r w:rsidR="00AD4143" w:rsidRPr="00BD3276">
        <w:rPr>
          <w:sz w:val="24"/>
          <w:szCs w:val="24"/>
        </w:rPr>
        <w:t>-</w:t>
      </w:r>
      <w:r w:rsidR="00AD4143" w:rsidRPr="00BD3276">
        <w:rPr>
          <w:rFonts w:ascii="Calibri" w:eastAsia="Calibri" w:hAnsi="Calibri" w:cs="Times New Roman"/>
          <w:sz w:val="24"/>
          <w:szCs w:val="24"/>
        </w:rPr>
        <w:t xml:space="preserve"> </w:t>
      </w:r>
      <w:r w:rsidR="00B405AA" w:rsidRPr="00B405AA">
        <w:rPr>
          <w:b/>
          <w:sz w:val="24"/>
          <w:szCs w:val="24"/>
        </w:rPr>
        <w:t xml:space="preserve"> </w:t>
      </w:r>
      <w:r w:rsidR="005E5D98">
        <w:rPr>
          <w:b/>
          <w:sz w:val="24"/>
          <w:szCs w:val="24"/>
        </w:rPr>
        <w:t>подписан с КЕП</w:t>
      </w:r>
      <w:r w:rsidR="00B405AA" w:rsidRPr="00B405AA">
        <w:rPr>
          <w:b/>
          <w:sz w:val="24"/>
          <w:szCs w:val="24"/>
        </w:rPr>
        <w:t xml:space="preserve"> </w:t>
      </w:r>
      <w:r w:rsidR="008A3AFF">
        <w:rPr>
          <w:b/>
          <w:sz w:val="24"/>
          <w:szCs w:val="24"/>
        </w:rPr>
        <w:t xml:space="preserve">от лице с право да представлява кандидата </w:t>
      </w:r>
      <w:r w:rsidR="00B405AA" w:rsidRPr="00B405AA">
        <w:rPr>
          <w:b/>
          <w:sz w:val="24"/>
          <w:szCs w:val="24"/>
        </w:rPr>
        <w:t>и п</w:t>
      </w:r>
      <w:r w:rsidR="00B405AA">
        <w:rPr>
          <w:b/>
          <w:sz w:val="24"/>
          <w:szCs w:val="24"/>
        </w:rPr>
        <w:t>рикачен в ИСУН 2020</w:t>
      </w:r>
      <w:r w:rsidR="00B81E00">
        <w:rPr>
          <w:sz w:val="24"/>
          <w:szCs w:val="24"/>
        </w:rPr>
        <w:t>.</w:t>
      </w:r>
    </w:p>
    <w:p w:rsidR="00D705BA" w:rsidRPr="00BD3276" w:rsidRDefault="00AD4143" w:rsidP="0078374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3"/>
          <w:szCs w:val="23"/>
        </w:rPr>
      </w:pPr>
      <w:r w:rsidRPr="00BD3276">
        <w:rPr>
          <w:sz w:val="23"/>
          <w:szCs w:val="23"/>
        </w:rPr>
        <w:lastRenderedPageBreak/>
        <w:t>В случай че посочените документи са оповестени в Търговския регистър към датата на кандидатстване</w:t>
      </w:r>
      <w:r w:rsidR="00BB0499" w:rsidRPr="00BD3276">
        <w:rPr>
          <w:sz w:val="23"/>
          <w:szCs w:val="23"/>
        </w:rPr>
        <w:t xml:space="preserve"> и са </w:t>
      </w:r>
      <w:r w:rsidR="00BB0499" w:rsidRPr="00BD3276">
        <w:rPr>
          <w:sz w:val="24"/>
          <w:szCs w:val="24"/>
        </w:rPr>
        <w:t>в идентичен формат на този, в който са подадени към НСИ</w:t>
      </w:r>
      <w:r w:rsidRPr="00BD3276">
        <w:rPr>
          <w:sz w:val="23"/>
          <w:szCs w:val="23"/>
        </w:rPr>
        <w:t>, това обстоятелство ще се проверява по слу</w:t>
      </w:r>
      <w:r w:rsidR="000F1845" w:rsidRPr="00BD3276">
        <w:rPr>
          <w:sz w:val="23"/>
          <w:szCs w:val="23"/>
        </w:rPr>
        <w:t>жебен път съгласно чл. 23, ал. 6</w:t>
      </w:r>
      <w:r w:rsidRPr="00BD3276">
        <w:rPr>
          <w:sz w:val="23"/>
          <w:szCs w:val="23"/>
        </w:rPr>
        <w:t xml:space="preserve"> от Закона за търговския регистър.</w:t>
      </w:r>
    </w:p>
    <w:p w:rsidR="003751EC" w:rsidRPr="00BD3276" w:rsidRDefault="003751EC" w:rsidP="0078374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BE1E06" w:rsidRPr="00BD3276" w:rsidRDefault="00E4432E" w:rsidP="00E54DAE">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Pr>
          <w:b/>
          <w:sz w:val="24"/>
          <w:szCs w:val="24"/>
        </w:rPr>
        <w:t>н</w:t>
      </w:r>
      <w:r w:rsidR="00D705BA" w:rsidRPr="00BD3276">
        <w:rPr>
          <w:b/>
          <w:sz w:val="24"/>
          <w:szCs w:val="24"/>
        </w:rPr>
        <w:t>/</w:t>
      </w:r>
      <w:r w:rsidR="00D705BA" w:rsidRPr="00BD3276">
        <w:rPr>
          <w:sz w:val="24"/>
          <w:szCs w:val="24"/>
        </w:rPr>
        <w:t xml:space="preserve"> Справка за група предприятия за 2012, 2013 и 2014 г</w:t>
      </w:r>
      <w:r w:rsidR="00454211" w:rsidRPr="00BD3276">
        <w:rPr>
          <w:sz w:val="24"/>
          <w:szCs w:val="24"/>
        </w:rPr>
        <w:t>.</w:t>
      </w:r>
      <w:r w:rsidR="00454211" w:rsidRPr="00BD3276">
        <w:rPr>
          <w:rStyle w:val="FootnoteReference"/>
          <w:sz w:val="24"/>
          <w:szCs w:val="24"/>
        </w:rPr>
        <w:footnoteReference w:id="31"/>
      </w:r>
      <w:r w:rsidR="00894BAA" w:rsidRPr="00BD3276">
        <w:rPr>
          <w:sz w:val="24"/>
          <w:szCs w:val="24"/>
        </w:rPr>
        <w:t xml:space="preserve"> </w:t>
      </w:r>
      <w:r w:rsidR="005D7471" w:rsidRPr="00BD3276">
        <w:rPr>
          <w:sz w:val="24"/>
          <w:szCs w:val="24"/>
        </w:rPr>
        <w:t>(ако е приложимо)</w:t>
      </w:r>
      <w:r w:rsidR="00E54DAE" w:rsidRPr="00BD3276">
        <w:rPr>
          <w:sz w:val="24"/>
          <w:szCs w:val="24"/>
        </w:rPr>
        <w:t xml:space="preserve"> -</w:t>
      </w:r>
      <w:r w:rsidR="006E14FC" w:rsidRPr="006E14FC">
        <w:t xml:space="preserve"> </w:t>
      </w:r>
      <w:r w:rsidR="007F466A" w:rsidRPr="007F466A">
        <w:rPr>
          <w:b/>
          <w:sz w:val="24"/>
          <w:szCs w:val="24"/>
        </w:rPr>
        <w:t xml:space="preserve"> </w:t>
      </w:r>
      <w:r w:rsidR="007C7D1F">
        <w:rPr>
          <w:b/>
          <w:sz w:val="24"/>
          <w:szCs w:val="24"/>
        </w:rPr>
        <w:t>подписан</w:t>
      </w:r>
      <w:r w:rsidR="007B0F44">
        <w:rPr>
          <w:b/>
          <w:sz w:val="24"/>
          <w:szCs w:val="24"/>
        </w:rPr>
        <w:t>а</w:t>
      </w:r>
      <w:r w:rsidR="007C7D1F">
        <w:rPr>
          <w:b/>
          <w:sz w:val="24"/>
          <w:szCs w:val="24"/>
        </w:rPr>
        <w:t xml:space="preserve"> с КЕП</w:t>
      </w:r>
      <w:r w:rsidR="00FB57BB">
        <w:rPr>
          <w:b/>
          <w:sz w:val="24"/>
          <w:szCs w:val="24"/>
        </w:rPr>
        <w:t xml:space="preserve"> от лице с право да представлява кандидата</w:t>
      </w:r>
      <w:r w:rsidR="007C7D1F">
        <w:rPr>
          <w:b/>
          <w:sz w:val="24"/>
          <w:szCs w:val="24"/>
        </w:rPr>
        <w:t xml:space="preserve"> и</w:t>
      </w:r>
      <w:r w:rsidR="007F466A" w:rsidRPr="007F466A">
        <w:rPr>
          <w:b/>
          <w:sz w:val="24"/>
          <w:szCs w:val="24"/>
        </w:rPr>
        <w:t xml:space="preserve"> прикачен</w:t>
      </w:r>
      <w:r w:rsidR="007B0F44">
        <w:rPr>
          <w:b/>
          <w:sz w:val="24"/>
          <w:szCs w:val="24"/>
        </w:rPr>
        <w:t>а</w:t>
      </w:r>
      <w:r w:rsidR="007F466A" w:rsidRPr="007F466A">
        <w:rPr>
          <w:b/>
          <w:sz w:val="24"/>
          <w:szCs w:val="24"/>
        </w:rPr>
        <w:t xml:space="preserve"> в ИСУН 2020, заверено от кандидата. </w:t>
      </w:r>
      <w:r w:rsidR="00BE1E06" w:rsidRPr="00BE1E06">
        <w:t xml:space="preserve"> </w:t>
      </w:r>
      <w:r w:rsidR="00BE1E06" w:rsidRPr="00BE1E06">
        <w:rPr>
          <w:b/>
          <w:sz w:val="24"/>
          <w:szCs w:val="24"/>
        </w:rPr>
        <w:t>В случай че кандидатът не съставя посочената справка същият следва да представи списък на предприятията, с които формира група предприятия</w:t>
      </w:r>
      <w:r w:rsidR="00C65A37">
        <w:rPr>
          <w:b/>
          <w:sz w:val="24"/>
          <w:szCs w:val="24"/>
          <w:lang w:val="en-US"/>
        </w:rPr>
        <w:t xml:space="preserve"> (</w:t>
      </w:r>
      <w:r w:rsidR="00C65A37">
        <w:rPr>
          <w:b/>
          <w:sz w:val="24"/>
          <w:szCs w:val="24"/>
        </w:rPr>
        <w:t xml:space="preserve">подписан с КЕП </w:t>
      </w:r>
      <w:r w:rsidR="00C65A37" w:rsidRPr="00C65A37">
        <w:rPr>
          <w:b/>
          <w:sz w:val="24"/>
          <w:szCs w:val="24"/>
        </w:rPr>
        <w:t>от лице с право да представлява кандидата</w:t>
      </w:r>
      <w:r w:rsidR="00C65A37">
        <w:rPr>
          <w:b/>
          <w:sz w:val="24"/>
          <w:szCs w:val="24"/>
        </w:rPr>
        <w:t>)</w:t>
      </w:r>
      <w:r w:rsidR="00BE1E06" w:rsidRPr="00BE1E06">
        <w:rPr>
          <w:b/>
          <w:sz w:val="24"/>
          <w:szCs w:val="24"/>
        </w:rPr>
        <w:t>.</w:t>
      </w:r>
    </w:p>
    <w:p w:rsidR="00D42E6C" w:rsidRPr="00BD3276" w:rsidRDefault="00D42E6C" w:rsidP="00D42E6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3"/>
          <w:szCs w:val="23"/>
        </w:rPr>
      </w:pPr>
      <w:r w:rsidRPr="00BD3276">
        <w:rPr>
          <w:sz w:val="23"/>
          <w:szCs w:val="23"/>
        </w:rPr>
        <w:t>В случай че посочените документи са оповестени в Търговския регистър към датата на кандидатстване</w:t>
      </w:r>
      <w:r w:rsidR="00BB0499" w:rsidRPr="00BD3276">
        <w:rPr>
          <w:sz w:val="23"/>
          <w:szCs w:val="23"/>
        </w:rPr>
        <w:t xml:space="preserve"> и са </w:t>
      </w:r>
      <w:r w:rsidR="00BB0499" w:rsidRPr="00BD3276">
        <w:rPr>
          <w:sz w:val="24"/>
          <w:szCs w:val="24"/>
        </w:rPr>
        <w:t>в идентичен формат на този, в който са подадени към НСИ</w:t>
      </w:r>
      <w:r w:rsidRPr="00BD3276">
        <w:rPr>
          <w:sz w:val="23"/>
          <w:szCs w:val="23"/>
        </w:rPr>
        <w:t>, това обстоятелство ще се проверява по слу</w:t>
      </w:r>
      <w:r w:rsidR="000F1845" w:rsidRPr="00BD3276">
        <w:rPr>
          <w:sz w:val="23"/>
          <w:szCs w:val="23"/>
        </w:rPr>
        <w:t>жебен път съгласно чл. 23, ал. 6</w:t>
      </w:r>
      <w:r w:rsidRPr="00BD3276">
        <w:rPr>
          <w:sz w:val="23"/>
          <w:szCs w:val="23"/>
        </w:rPr>
        <w:t xml:space="preserve"> от Закона за търговския регистър.</w:t>
      </w:r>
    </w:p>
    <w:p w:rsidR="00A94FAB" w:rsidRPr="00BD3276" w:rsidRDefault="00A94FAB" w:rsidP="00D42E6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AA3E95" w:rsidRPr="00925EF3" w:rsidRDefault="00E4432E" w:rsidP="00AA3E95">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Pr>
          <w:b/>
          <w:sz w:val="24"/>
          <w:szCs w:val="24"/>
        </w:rPr>
        <w:t>о</w:t>
      </w:r>
      <w:r w:rsidR="00DC11DF" w:rsidRPr="00BD3276">
        <w:rPr>
          <w:b/>
          <w:sz w:val="24"/>
          <w:szCs w:val="24"/>
        </w:rPr>
        <w:t>/</w:t>
      </w:r>
      <w:r w:rsidR="00DC11DF" w:rsidRPr="00BD3276">
        <w:rPr>
          <w:sz w:val="24"/>
          <w:szCs w:val="24"/>
        </w:rPr>
        <w:t xml:space="preserve"> Справка за приходите и разходите по видове и икономически дейности</w:t>
      </w:r>
      <w:r w:rsidR="004F223F" w:rsidRPr="00BD3276">
        <w:rPr>
          <w:rStyle w:val="FootnoteReference"/>
          <w:sz w:val="24"/>
          <w:szCs w:val="24"/>
        </w:rPr>
        <w:footnoteReference w:id="32"/>
      </w:r>
      <w:r w:rsidR="00DC11DF" w:rsidRPr="00BD3276">
        <w:rPr>
          <w:sz w:val="24"/>
          <w:szCs w:val="24"/>
        </w:rPr>
        <w:t xml:space="preserve"> за 2012, 2013 и 2014 г</w:t>
      </w:r>
      <w:r w:rsidR="00D6749D">
        <w:rPr>
          <w:sz w:val="24"/>
          <w:szCs w:val="24"/>
        </w:rPr>
        <w:t>. -</w:t>
      </w:r>
      <w:r w:rsidR="00D6749D" w:rsidRPr="00D6749D">
        <w:rPr>
          <w:b/>
          <w:sz w:val="24"/>
          <w:szCs w:val="24"/>
        </w:rPr>
        <w:t xml:space="preserve"> </w:t>
      </w:r>
      <w:r w:rsidR="00D6749D" w:rsidRPr="007F466A">
        <w:rPr>
          <w:b/>
          <w:sz w:val="24"/>
          <w:szCs w:val="24"/>
        </w:rPr>
        <w:t xml:space="preserve"> </w:t>
      </w:r>
      <w:r w:rsidR="00881D45">
        <w:rPr>
          <w:b/>
          <w:sz w:val="24"/>
          <w:szCs w:val="24"/>
        </w:rPr>
        <w:t>подписан</w:t>
      </w:r>
      <w:r w:rsidR="007B0F44">
        <w:rPr>
          <w:b/>
          <w:sz w:val="24"/>
          <w:szCs w:val="24"/>
        </w:rPr>
        <w:t>а</w:t>
      </w:r>
      <w:r w:rsidR="00881D45">
        <w:rPr>
          <w:b/>
          <w:sz w:val="24"/>
          <w:szCs w:val="24"/>
        </w:rPr>
        <w:t xml:space="preserve"> с КЕП</w:t>
      </w:r>
      <w:r w:rsidR="00FB57BB">
        <w:rPr>
          <w:b/>
          <w:sz w:val="24"/>
          <w:szCs w:val="24"/>
        </w:rPr>
        <w:t xml:space="preserve"> от лице с право да представлява кандидата</w:t>
      </w:r>
      <w:r w:rsidR="00D6749D" w:rsidRPr="007F466A">
        <w:rPr>
          <w:b/>
          <w:sz w:val="24"/>
          <w:szCs w:val="24"/>
        </w:rPr>
        <w:t xml:space="preserve"> и прикачен</w:t>
      </w:r>
      <w:r w:rsidR="007B0F44">
        <w:rPr>
          <w:b/>
          <w:sz w:val="24"/>
          <w:szCs w:val="24"/>
        </w:rPr>
        <w:t>а</w:t>
      </w:r>
      <w:r w:rsidR="00D6749D" w:rsidRPr="007F466A">
        <w:rPr>
          <w:b/>
          <w:sz w:val="24"/>
          <w:szCs w:val="24"/>
        </w:rPr>
        <w:t xml:space="preserve"> в ИСУН 2020.</w:t>
      </w:r>
    </w:p>
    <w:p w:rsidR="00AA3E95" w:rsidRPr="00925EF3" w:rsidRDefault="00AA3E95" w:rsidP="00AA3E9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925EF3">
        <w:rPr>
          <w:sz w:val="23"/>
          <w:szCs w:val="23"/>
        </w:rPr>
        <w:t>В случай че посочените документи са оповестени в Търговския регистър към датата на кандидатстване</w:t>
      </w:r>
      <w:r w:rsidR="00B428A7" w:rsidRPr="00925EF3">
        <w:rPr>
          <w:sz w:val="23"/>
          <w:szCs w:val="23"/>
        </w:rPr>
        <w:t xml:space="preserve"> и са </w:t>
      </w:r>
      <w:r w:rsidR="00B428A7" w:rsidRPr="00925EF3">
        <w:rPr>
          <w:sz w:val="24"/>
          <w:szCs w:val="24"/>
        </w:rPr>
        <w:t>в идентичен формат на този, в който са подадени към НСИ</w:t>
      </w:r>
      <w:r w:rsidRPr="00925EF3">
        <w:rPr>
          <w:sz w:val="23"/>
          <w:szCs w:val="23"/>
        </w:rPr>
        <w:t>, това обстоятелство ще се проверява по слу</w:t>
      </w:r>
      <w:r w:rsidR="000F1845" w:rsidRPr="00925EF3">
        <w:rPr>
          <w:sz w:val="23"/>
          <w:szCs w:val="23"/>
        </w:rPr>
        <w:t>жебен път съгласно чл. 23, ал. 6</w:t>
      </w:r>
      <w:r w:rsidRPr="00925EF3">
        <w:rPr>
          <w:sz w:val="23"/>
          <w:szCs w:val="23"/>
        </w:rPr>
        <w:t xml:space="preserve"> от Закона за търговския регистър.</w:t>
      </w:r>
    </w:p>
    <w:p w:rsidR="00B05158" w:rsidRPr="00925EF3" w:rsidRDefault="00B05158" w:rsidP="00AA3E9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AA3E95" w:rsidRPr="00925EF3" w:rsidRDefault="00E4432E" w:rsidP="00B56D4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п</w:t>
      </w:r>
      <w:r w:rsidR="00B05158" w:rsidRPr="00925EF3">
        <w:rPr>
          <w:b/>
          <w:sz w:val="24"/>
          <w:szCs w:val="24"/>
        </w:rPr>
        <w:t>/</w:t>
      </w:r>
      <w:r w:rsidR="00B05158" w:rsidRPr="00925EF3">
        <w:rPr>
          <w:sz w:val="24"/>
          <w:szCs w:val="24"/>
        </w:rPr>
        <w:t xml:space="preserve"> </w:t>
      </w:r>
      <w:r w:rsidR="00013FB4" w:rsidRPr="00925EF3">
        <w:rPr>
          <w:sz w:val="24"/>
          <w:szCs w:val="24"/>
        </w:rPr>
        <w:t xml:space="preserve">Справка за нетекущите (дълготрайните) активи </w:t>
      </w:r>
      <w:r w:rsidR="006452F9" w:rsidRPr="00925EF3">
        <w:rPr>
          <w:sz w:val="24"/>
          <w:szCs w:val="24"/>
        </w:rPr>
        <w:t>за 2012, 2013 и 201</w:t>
      </w:r>
      <w:r w:rsidR="004E73DE" w:rsidRPr="00925EF3">
        <w:rPr>
          <w:sz w:val="24"/>
          <w:szCs w:val="24"/>
        </w:rPr>
        <w:t>4</w:t>
      </w:r>
      <w:r w:rsidR="006452F9" w:rsidRPr="00925EF3">
        <w:rPr>
          <w:sz w:val="24"/>
          <w:szCs w:val="24"/>
        </w:rPr>
        <w:t xml:space="preserve"> г.</w:t>
      </w:r>
      <w:r w:rsidR="00735FB9" w:rsidRPr="00925EF3">
        <w:rPr>
          <w:rStyle w:val="FootnoteReference"/>
          <w:sz w:val="24"/>
          <w:szCs w:val="24"/>
        </w:rPr>
        <w:footnoteReference w:id="33"/>
      </w:r>
      <w:r w:rsidR="006452F9" w:rsidRPr="00925EF3">
        <w:rPr>
          <w:sz w:val="24"/>
          <w:szCs w:val="24"/>
        </w:rPr>
        <w:t xml:space="preserve"> </w:t>
      </w:r>
      <w:r w:rsidR="00AA3E95" w:rsidRPr="00925EF3">
        <w:rPr>
          <w:sz w:val="24"/>
          <w:szCs w:val="24"/>
        </w:rPr>
        <w:t>-</w:t>
      </w:r>
      <w:r w:rsidR="00AA3E95" w:rsidRPr="00925EF3">
        <w:rPr>
          <w:rFonts w:ascii="Calibri" w:eastAsia="Calibri" w:hAnsi="Calibri" w:cs="Times New Roman"/>
          <w:sz w:val="24"/>
          <w:szCs w:val="24"/>
        </w:rPr>
        <w:t xml:space="preserve"> </w:t>
      </w:r>
      <w:r w:rsidR="004B278B" w:rsidRPr="00925EF3">
        <w:rPr>
          <w:b/>
          <w:sz w:val="24"/>
          <w:szCs w:val="24"/>
        </w:rPr>
        <w:t xml:space="preserve"> </w:t>
      </w:r>
      <w:r w:rsidR="004C7C40">
        <w:rPr>
          <w:b/>
          <w:sz w:val="24"/>
          <w:szCs w:val="24"/>
        </w:rPr>
        <w:t>подписан</w:t>
      </w:r>
      <w:r w:rsidR="007B0F44">
        <w:rPr>
          <w:b/>
          <w:sz w:val="24"/>
          <w:szCs w:val="24"/>
        </w:rPr>
        <w:t>а</w:t>
      </w:r>
      <w:r w:rsidR="004C7C40">
        <w:rPr>
          <w:b/>
          <w:sz w:val="24"/>
          <w:szCs w:val="24"/>
        </w:rPr>
        <w:t xml:space="preserve"> с КЕП</w:t>
      </w:r>
      <w:r w:rsidR="00CF50E8">
        <w:rPr>
          <w:b/>
          <w:sz w:val="24"/>
          <w:szCs w:val="24"/>
        </w:rPr>
        <w:t xml:space="preserve"> от лице с право да представлява кандидата</w:t>
      </w:r>
      <w:r w:rsidR="004B278B" w:rsidRPr="00925EF3">
        <w:rPr>
          <w:b/>
          <w:sz w:val="24"/>
          <w:szCs w:val="24"/>
        </w:rPr>
        <w:t xml:space="preserve"> и прикачен в ИСУН 2020.</w:t>
      </w:r>
    </w:p>
    <w:p w:rsidR="00AA3E95" w:rsidRPr="00925EF3" w:rsidRDefault="00AA3E95" w:rsidP="00AA3E9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925EF3">
        <w:rPr>
          <w:sz w:val="23"/>
          <w:szCs w:val="23"/>
        </w:rPr>
        <w:lastRenderedPageBreak/>
        <w:t>В случай че посочените документи са оповестени в Търговския регистър към датата на кандидатстване</w:t>
      </w:r>
      <w:r w:rsidR="00B428A7" w:rsidRPr="00925EF3">
        <w:rPr>
          <w:sz w:val="23"/>
          <w:szCs w:val="23"/>
        </w:rPr>
        <w:t xml:space="preserve"> и са </w:t>
      </w:r>
      <w:r w:rsidR="00B428A7" w:rsidRPr="00925EF3">
        <w:rPr>
          <w:sz w:val="24"/>
          <w:szCs w:val="24"/>
        </w:rPr>
        <w:t>в идентичен формат на този, в който са подадени към НСИ</w:t>
      </w:r>
      <w:r w:rsidRPr="00925EF3">
        <w:rPr>
          <w:sz w:val="23"/>
          <w:szCs w:val="23"/>
        </w:rPr>
        <w:t>, това обстоятелство ще се проверява по слу</w:t>
      </w:r>
      <w:r w:rsidR="000F1845" w:rsidRPr="00925EF3">
        <w:rPr>
          <w:sz w:val="23"/>
          <w:szCs w:val="23"/>
        </w:rPr>
        <w:t>жебен път съгласно чл. 23, ал. 6</w:t>
      </w:r>
      <w:r w:rsidRPr="00925EF3">
        <w:rPr>
          <w:sz w:val="23"/>
          <w:szCs w:val="23"/>
        </w:rPr>
        <w:t xml:space="preserve"> от Закона за търговския регистър.</w:t>
      </w:r>
    </w:p>
    <w:p w:rsidR="00032AB7" w:rsidRPr="00925EF3" w:rsidRDefault="00032AB7" w:rsidP="00DC11DF">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p>
    <w:p w:rsidR="00B56D45" w:rsidRPr="00BD3276" w:rsidRDefault="00E4432E" w:rsidP="00B56D45">
      <w:pPr>
        <w:pStyle w:val="ListParagraph"/>
        <w:pBdr>
          <w:top w:val="single" w:sz="4" w:space="1" w:color="auto"/>
          <w:left w:val="single" w:sz="4" w:space="4" w:color="auto"/>
          <w:bottom w:val="single" w:sz="4" w:space="1" w:color="auto"/>
          <w:right w:val="single" w:sz="4" w:space="4" w:color="auto"/>
        </w:pBdr>
        <w:spacing w:before="120" w:after="360" w:line="240" w:lineRule="auto"/>
        <w:ind w:left="0"/>
        <w:jc w:val="both"/>
        <w:rPr>
          <w:sz w:val="24"/>
          <w:szCs w:val="24"/>
        </w:rPr>
      </w:pPr>
      <w:r>
        <w:rPr>
          <w:b/>
          <w:sz w:val="24"/>
          <w:szCs w:val="24"/>
        </w:rPr>
        <w:t>р</w:t>
      </w:r>
      <w:r w:rsidR="004F223F" w:rsidRPr="00925EF3">
        <w:rPr>
          <w:b/>
          <w:sz w:val="24"/>
          <w:szCs w:val="24"/>
        </w:rPr>
        <w:t>/</w:t>
      </w:r>
      <w:r w:rsidR="004F223F" w:rsidRPr="00925EF3">
        <w:rPr>
          <w:sz w:val="24"/>
          <w:szCs w:val="24"/>
        </w:rPr>
        <w:t xml:space="preserve"> Отчет за заетите лица, средствата за работна заплата и други разходи за труд</w:t>
      </w:r>
      <w:r w:rsidR="004F223F" w:rsidRPr="00925EF3">
        <w:rPr>
          <w:rStyle w:val="FootnoteReference"/>
          <w:sz w:val="24"/>
          <w:szCs w:val="24"/>
        </w:rPr>
        <w:footnoteReference w:id="34"/>
      </w:r>
      <w:r w:rsidR="004F223F" w:rsidRPr="00925EF3">
        <w:rPr>
          <w:sz w:val="24"/>
          <w:szCs w:val="24"/>
        </w:rPr>
        <w:t xml:space="preserve">  за 2012 г., 2013 г. и 2014 г. </w:t>
      </w:r>
      <w:r w:rsidR="00B56D45" w:rsidRPr="00925EF3">
        <w:rPr>
          <w:sz w:val="24"/>
          <w:szCs w:val="24"/>
        </w:rPr>
        <w:t>-</w:t>
      </w:r>
      <w:r w:rsidR="00B56D45" w:rsidRPr="00925EF3">
        <w:rPr>
          <w:rFonts w:ascii="Calibri" w:eastAsia="Calibri" w:hAnsi="Calibri" w:cs="Times New Roman"/>
          <w:sz w:val="24"/>
          <w:szCs w:val="24"/>
        </w:rPr>
        <w:t xml:space="preserve"> </w:t>
      </w:r>
      <w:r w:rsidR="004B278B" w:rsidRPr="00925EF3">
        <w:rPr>
          <w:b/>
          <w:sz w:val="24"/>
          <w:szCs w:val="24"/>
        </w:rPr>
        <w:t xml:space="preserve"> </w:t>
      </w:r>
      <w:r w:rsidR="004C7C40">
        <w:rPr>
          <w:b/>
          <w:sz w:val="24"/>
          <w:szCs w:val="24"/>
        </w:rPr>
        <w:t>подписан с КЕП</w:t>
      </w:r>
      <w:r w:rsidR="00CF50E8">
        <w:rPr>
          <w:b/>
          <w:sz w:val="24"/>
          <w:szCs w:val="24"/>
        </w:rPr>
        <w:t xml:space="preserve"> от лице с право да представлява кандидата</w:t>
      </w:r>
      <w:r w:rsidR="004B278B" w:rsidRPr="00925EF3">
        <w:rPr>
          <w:b/>
          <w:sz w:val="24"/>
          <w:szCs w:val="24"/>
        </w:rPr>
        <w:t xml:space="preserve"> и прикачен в ИСУН 2020. </w:t>
      </w:r>
    </w:p>
    <w:p w:rsidR="00A94FAB" w:rsidRPr="00BD3276" w:rsidRDefault="00B56D45" w:rsidP="00B56D4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3"/>
          <w:szCs w:val="23"/>
        </w:rPr>
        <w:t>В случай че посочените документи са оповестени в Търговския регистър към датата на кандидатстване</w:t>
      </w:r>
      <w:r w:rsidR="00596B28" w:rsidRPr="00BD3276">
        <w:rPr>
          <w:sz w:val="23"/>
          <w:szCs w:val="23"/>
        </w:rPr>
        <w:t xml:space="preserve"> и са </w:t>
      </w:r>
      <w:r w:rsidR="00B428A7" w:rsidRPr="00BD3276">
        <w:rPr>
          <w:sz w:val="24"/>
          <w:szCs w:val="24"/>
        </w:rPr>
        <w:t>в</w:t>
      </w:r>
      <w:r w:rsidR="00596B28" w:rsidRPr="00BD3276">
        <w:rPr>
          <w:sz w:val="24"/>
          <w:szCs w:val="24"/>
        </w:rPr>
        <w:t xml:space="preserve"> идентичен формат на този, в който са подадени към </w:t>
      </w:r>
      <w:r w:rsidR="00B428A7" w:rsidRPr="00BD3276">
        <w:rPr>
          <w:sz w:val="24"/>
          <w:szCs w:val="24"/>
        </w:rPr>
        <w:t>НСИ</w:t>
      </w:r>
      <w:r w:rsidRPr="00BD3276">
        <w:rPr>
          <w:sz w:val="23"/>
          <w:szCs w:val="23"/>
        </w:rPr>
        <w:t>, това обстоятелство ще се проверява по слу</w:t>
      </w:r>
      <w:r w:rsidR="000F1845" w:rsidRPr="00BD3276">
        <w:rPr>
          <w:sz w:val="23"/>
          <w:szCs w:val="23"/>
        </w:rPr>
        <w:t>жебен път съгласно чл. 23, ал. 6</w:t>
      </w:r>
      <w:r w:rsidRPr="00BD3276">
        <w:rPr>
          <w:sz w:val="23"/>
          <w:szCs w:val="23"/>
        </w:rPr>
        <w:t xml:space="preserve"> от Закона за търговския регистър.</w:t>
      </w:r>
    </w:p>
    <w:p w:rsidR="00570181" w:rsidRPr="00BD3276" w:rsidRDefault="00570181"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570181" w:rsidRDefault="00570181"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 xml:space="preserve">ВАЖНО: </w:t>
      </w:r>
      <w:r w:rsidR="00D657E0" w:rsidRPr="00BD3276">
        <w:rPr>
          <w:sz w:val="24"/>
          <w:szCs w:val="24"/>
        </w:rPr>
        <w:t xml:space="preserve">Документите по букви  </w:t>
      </w:r>
      <w:r w:rsidR="00703497" w:rsidRPr="00BD3276">
        <w:rPr>
          <w:sz w:val="24"/>
          <w:szCs w:val="24"/>
        </w:rPr>
        <w:t>м</w:t>
      </w:r>
      <w:r w:rsidR="00D657E0" w:rsidRPr="00BD3276">
        <w:rPr>
          <w:sz w:val="24"/>
          <w:szCs w:val="24"/>
        </w:rPr>
        <w:t>/</w:t>
      </w:r>
      <w:r w:rsidR="006402F8" w:rsidRPr="00BD3276">
        <w:rPr>
          <w:sz w:val="24"/>
          <w:szCs w:val="24"/>
        </w:rPr>
        <w:t>, н/</w:t>
      </w:r>
      <w:r w:rsidR="00F25F2D">
        <w:rPr>
          <w:sz w:val="24"/>
          <w:szCs w:val="24"/>
        </w:rPr>
        <w:t>,</w:t>
      </w:r>
      <w:r w:rsidR="006402F8" w:rsidRPr="00BD3276">
        <w:rPr>
          <w:sz w:val="24"/>
          <w:szCs w:val="24"/>
        </w:rPr>
        <w:t xml:space="preserve"> о/</w:t>
      </w:r>
      <w:r w:rsidR="00F25F2D">
        <w:rPr>
          <w:sz w:val="24"/>
          <w:szCs w:val="24"/>
        </w:rPr>
        <w:t>, п/ и р/</w:t>
      </w:r>
      <w:r w:rsidR="00D657E0" w:rsidRPr="00BD3276">
        <w:rPr>
          <w:b/>
          <w:sz w:val="24"/>
          <w:szCs w:val="24"/>
        </w:rPr>
        <w:t xml:space="preserve"> </w:t>
      </w:r>
      <w:r w:rsidR="00FE2C6E" w:rsidRPr="00BD3276">
        <w:rPr>
          <w:sz w:val="24"/>
          <w:szCs w:val="24"/>
        </w:rPr>
        <w:t>следва да бъдат представени</w:t>
      </w:r>
      <w:r w:rsidR="00FE2C6E" w:rsidRPr="00BD3276">
        <w:rPr>
          <w:b/>
          <w:sz w:val="24"/>
          <w:szCs w:val="24"/>
        </w:rPr>
        <w:t xml:space="preserve"> </w:t>
      </w:r>
      <w:r w:rsidR="00804CFB" w:rsidRPr="00BD3276">
        <w:rPr>
          <w:sz w:val="24"/>
          <w:szCs w:val="24"/>
        </w:rPr>
        <w:t>във формат</w:t>
      </w:r>
      <w:r w:rsidR="00B428A7" w:rsidRPr="00BD3276">
        <w:rPr>
          <w:sz w:val="24"/>
          <w:szCs w:val="24"/>
        </w:rPr>
        <w:t xml:space="preserve"> </w:t>
      </w:r>
      <w:r w:rsidR="00804CFB" w:rsidRPr="00BD3276">
        <w:rPr>
          <w:sz w:val="24"/>
          <w:szCs w:val="24"/>
        </w:rPr>
        <w:t>идентичен на този, в който са подадени към Националния статистически институт, като част от Годишния отчет за дейността на предприятието</w:t>
      </w:r>
      <w:r w:rsidR="004E2A1B" w:rsidRPr="00BD3276">
        <w:rPr>
          <w:sz w:val="24"/>
          <w:szCs w:val="24"/>
        </w:rPr>
        <w:t>.</w:t>
      </w:r>
    </w:p>
    <w:p w:rsidR="008400CB" w:rsidRDefault="008400CB"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rsidR="00654FD0" w:rsidRPr="00F455BF"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lang w:val="en-US"/>
        </w:rPr>
      </w:pPr>
      <w:r>
        <w:rPr>
          <w:b/>
          <w:sz w:val="24"/>
          <w:szCs w:val="24"/>
        </w:rPr>
        <w:t>с</w:t>
      </w:r>
      <w:r w:rsidR="008400CB">
        <w:rPr>
          <w:b/>
          <w:sz w:val="24"/>
          <w:szCs w:val="24"/>
        </w:rPr>
        <w:t xml:space="preserve">/ </w:t>
      </w:r>
      <w:r w:rsidR="00613579" w:rsidRPr="00613579">
        <w:rPr>
          <w:sz w:val="24"/>
          <w:szCs w:val="24"/>
        </w:rPr>
        <w:t>Данъчен</w:t>
      </w:r>
      <w:r w:rsidR="00613579">
        <w:rPr>
          <w:b/>
          <w:sz w:val="24"/>
          <w:szCs w:val="24"/>
        </w:rPr>
        <w:t xml:space="preserve"> </w:t>
      </w:r>
      <w:r w:rsidR="00613579">
        <w:rPr>
          <w:sz w:val="24"/>
          <w:szCs w:val="24"/>
        </w:rPr>
        <w:t>а</w:t>
      </w:r>
      <w:r w:rsidR="008400CB" w:rsidRPr="008400CB">
        <w:rPr>
          <w:sz w:val="24"/>
          <w:szCs w:val="24"/>
        </w:rPr>
        <w:t xml:space="preserve">мортизационен план, удостоверяващ </w:t>
      </w:r>
      <w:r w:rsidR="00084275" w:rsidRPr="00336DA9">
        <w:rPr>
          <w:sz w:val="24"/>
          <w:szCs w:val="24"/>
        </w:rPr>
        <w:t xml:space="preserve">сумата </w:t>
      </w:r>
      <w:r w:rsidR="000C5AF1" w:rsidRPr="00336DA9">
        <w:rPr>
          <w:sz w:val="24"/>
          <w:szCs w:val="24"/>
        </w:rPr>
        <w:t>на</w:t>
      </w:r>
      <w:r w:rsidR="00084275" w:rsidRPr="00336DA9">
        <w:rPr>
          <w:sz w:val="24"/>
          <w:szCs w:val="24"/>
        </w:rPr>
        <w:t xml:space="preserve"> разходи</w:t>
      </w:r>
      <w:r w:rsidR="000C5AF1" w:rsidRPr="00336DA9">
        <w:rPr>
          <w:sz w:val="24"/>
          <w:szCs w:val="24"/>
        </w:rPr>
        <w:t>те</w:t>
      </w:r>
      <w:r w:rsidR="00084275" w:rsidRPr="00336DA9">
        <w:rPr>
          <w:sz w:val="24"/>
          <w:szCs w:val="24"/>
        </w:rPr>
        <w:t xml:space="preserve"> за амортизация на активите, свързани с дейностите, които ще бъдат модернизирани за </w:t>
      </w:r>
      <w:r w:rsidR="00084275" w:rsidRPr="00336DA9">
        <w:rPr>
          <w:b/>
          <w:sz w:val="24"/>
          <w:szCs w:val="24"/>
        </w:rPr>
        <w:t>предходните три отчетни периода преди започване на работата по инвестицията</w:t>
      </w:r>
      <w:r w:rsidR="000C5AF1" w:rsidRPr="00336DA9">
        <w:rPr>
          <w:rStyle w:val="FootnoteReference"/>
          <w:b/>
          <w:sz w:val="24"/>
          <w:szCs w:val="24"/>
        </w:rPr>
        <w:footnoteReference w:id="35"/>
      </w:r>
      <w:r w:rsidR="000C5AF1">
        <w:rPr>
          <w:b/>
          <w:sz w:val="24"/>
          <w:szCs w:val="24"/>
        </w:rPr>
        <w:t xml:space="preserve"> </w:t>
      </w:r>
      <w:r w:rsidR="00A875BF">
        <w:rPr>
          <w:sz w:val="24"/>
          <w:szCs w:val="24"/>
        </w:rPr>
        <w:t>(</w:t>
      </w:r>
      <w:r w:rsidR="000C5AF1">
        <w:rPr>
          <w:sz w:val="24"/>
          <w:szCs w:val="24"/>
        </w:rPr>
        <w:t>д</w:t>
      </w:r>
      <w:r w:rsidR="0079376D" w:rsidRPr="006B20A6">
        <w:rPr>
          <w:sz w:val="24"/>
          <w:szCs w:val="24"/>
        </w:rPr>
        <w:t>окументът се изи</w:t>
      </w:r>
      <w:r w:rsidR="0079376D">
        <w:rPr>
          <w:sz w:val="24"/>
          <w:szCs w:val="24"/>
        </w:rPr>
        <w:t>сква в случаите, когато приложимият режим по Елемент А „Инвестиции“ е „регионална помощ“ и чрез проекта се осъществява</w:t>
      </w:r>
      <w:r w:rsidR="0079376D" w:rsidRPr="006B20A6">
        <w:rPr>
          <w:sz w:val="24"/>
          <w:szCs w:val="24"/>
        </w:rPr>
        <w:t xml:space="preserve"> основна промяна в целия производствен процес на съществуващ стопански обект</w:t>
      </w:r>
      <w:r w:rsidR="0079376D">
        <w:rPr>
          <w:sz w:val="24"/>
          <w:szCs w:val="24"/>
        </w:rPr>
        <w:t xml:space="preserve"> </w:t>
      </w:r>
      <w:r w:rsidR="00925EF3">
        <w:rPr>
          <w:rFonts w:ascii="Calibri" w:eastAsia="Calibri" w:hAnsi="Calibri" w:cs="Times New Roman"/>
          <w:sz w:val="24"/>
          <w:szCs w:val="24"/>
        </w:rPr>
        <w:t>-</w:t>
      </w:r>
      <w:r w:rsidR="008400CB" w:rsidRPr="008400CB">
        <w:rPr>
          <w:b/>
          <w:sz w:val="24"/>
          <w:szCs w:val="24"/>
        </w:rPr>
        <w:t xml:space="preserve"> </w:t>
      </w:r>
      <w:r w:rsidR="00347D92">
        <w:rPr>
          <w:b/>
          <w:sz w:val="24"/>
          <w:szCs w:val="24"/>
        </w:rPr>
        <w:t>подписан с КЕП</w:t>
      </w:r>
      <w:r w:rsidR="00F005FD">
        <w:rPr>
          <w:b/>
          <w:sz w:val="24"/>
          <w:szCs w:val="24"/>
        </w:rPr>
        <w:t xml:space="preserve"> от лице с право да представлява кандидата</w:t>
      </w:r>
      <w:r w:rsidR="008400CB" w:rsidRPr="008400CB">
        <w:rPr>
          <w:b/>
          <w:sz w:val="24"/>
          <w:szCs w:val="24"/>
        </w:rPr>
        <w:t xml:space="preserve"> и прикачен в ИСУН 2020</w:t>
      </w:r>
    </w:p>
    <w:p w:rsidR="00F455BF" w:rsidRPr="00F455BF" w:rsidRDefault="006743E6"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i/>
          <w:sz w:val="24"/>
          <w:szCs w:val="24"/>
          <w:lang w:val="en-US"/>
        </w:rPr>
      </w:pPr>
      <w:r w:rsidRPr="004B6245">
        <w:rPr>
          <w:b/>
          <w:i/>
          <w:sz w:val="24"/>
          <w:szCs w:val="24"/>
        </w:rPr>
        <w:t>или</w:t>
      </w:r>
    </w:p>
    <w:p w:rsidR="008400CB" w:rsidRDefault="006743E6"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Pr>
          <w:sz w:val="24"/>
          <w:szCs w:val="24"/>
        </w:rPr>
        <w:lastRenderedPageBreak/>
        <w:t>Счетоводен амортизационен план</w:t>
      </w:r>
      <w:r w:rsidR="008A04EF">
        <w:rPr>
          <w:sz w:val="24"/>
          <w:szCs w:val="24"/>
        </w:rPr>
        <w:t xml:space="preserve">, удостоверяващ </w:t>
      </w:r>
      <w:r w:rsidR="009838F6" w:rsidRPr="00F25E9D">
        <w:rPr>
          <w:sz w:val="24"/>
          <w:szCs w:val="24"/>
        </w:rPr>
        <w:t>балансовата</w:t>
      </w:r>
      <w:r w:rsidR="008A04EF" w:rsidRPr="00F25E9D">
        <w:rPr>
          <w:sz w:val="24"/>
          <w:szCs w:val="24"/>
        </w:rPr>
        <w:t xml:space="preserve"> стойност на активите, които се използват повторно</w:t>
      </w:r>
      <w:r w:rsidR="009838F6" w:rsidRPr="00F25E9D">
        <w:rPr>
          <w:sz w:val="24"/>
          <w:szCs w:val="24"/>
        </w:rPr>
        <w:t>, към 31 декември на годината</w:t>
      </w:r>
      <w:r w:rsidR="00213494" w:rsidRPr="00F25E9D">
        <w:rPr>
          <w:rStyle w:val="FootnoteReference"/>
          <w:sz w:val="24"/>
          <w:szCs w:val="24"/>
        </w:rPr>
        <w:footnoteReference w:id="36"/>
      </w:r>
      <w:r w:rsidR="009838F6" w:rsidRPr="00F25E9D">
        <w:rPr>
          <w:sz w:val="24"/>
          <w:szCs w:val="24"/>
        </w:rPr>
        <w:t xml:space="preserve"> </w:t>
      </w:r>
      <w:r w:rsidR="009F3B2A" w:rsidRPr="00F25E9D">
        <w:rPr>
          <w:sz w:val="24"/>
          <w:szCs w:val="24"/>
        </w:rPr>
        <w:t xml:space="preserve">преди започване на работата по </w:t>
      </w:r>
      <w:r w:rsidR="009838F6" w:rsidRPr="00F25E9D">
        <w:rPr>
          <w:sz w:val="24"/>
          <w:szCs w:val="24"/>
        </w:rPr>
        <w:t>инвестицията</w:t>
      </w:r>
      <w:r w:rsidR="009F3B2A" w:rsidRPr="00F25E9D">
        <w:rPr>
          <w:sz w:val="24"/>
          <w:szCs w:val="24"/>
        </w:rPr>
        <w:t xml:space="preserve"> (документът се изисква в случаите,</w:t>
      </w:r>
      <w:r w:rsidR="009F3B2A" w:rsidRPr="009F3B2A">
        <w:rPr>
          <w:sz w:val="24"/>
          <w:szCs w:val="24"/>
        </w:rPr>
        <w:t xml:space="preserve"> когато приложимият режим по Елемент А „Инвестиции“ е „регионална помощ“ и чрез проекта се осъществява</w:t>
      </w:r>
      <w:r w:rsidR="009F3B2A" w:rsidRPr="005764A7">
        <w:rPr>
          <w:sz w:val="24"/>
          <w:szCs w:val="24"/>
        </w:rPr>
        <w:t xml:space="preserve"> </w:t>
      </w:r>
      <w:r w:rsidR="005764A7" w:rsidRPr="005764A7">
        <w:rPr>
          <w:sz w:val="24"/>
          <w:szCs w:val="24"/>
        </w:rPr>
        <w:t>диверсификацията на продукцията на стопански обект с продукти, които не са били произвеждани до момента в стопанския обект</w:t>
      </w:r>
      <w:r w:rsidR="00C15E28" w:rsidRPr="00C15E28">
        <w:rPr>
          <w:b/>
          <w:sz w:val="24"/>
          <w:szCs w:val="24"/>
        </w:rPr>
        <w:t>),</w:t>
      </w:r>
      <w:r w:rsidR="00C15E28" w:rsidRPr="00C15E28">
        <w:rPr>
          <w:b/>
        </w:rPr>
        <w:t xml:space="preserve"> </w:t>
      </w:r>
      <w:r w:rsidR="00C15E28" w:rsidRPr="00C15E28">
        <w:rPr>
          <w:b/>
          <w:sz w:val="24"/>
          <w:szCs w:val="24"/>
        </w:rPr>
        <w:t>подписан с КЕП от лице с право да представлява кандидата и прикачен в ИСУН 2020</w:t>
      </w:r>
      <w:r w:rsidR="008400CB" w:rsidRPr="005764A7">
        <w:rPr>
          <w:sz w:val="24"/>
          <w:szCs w:val="24"/>
        </w:rPr>
        <w:t>;</w:t>
      </w:r>
    </w:p>
    <w:p w:rsidR="008400CB" w:rsidRDefault="008400CB"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p>
    <w:p w:rsidR="0027311E"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т</w:t>
      </w:r>
      <w:r w:rsidR="008400CB">
        <w:rPr>
          <w:b/>
          <w:sz w:val="24"/>
          <w:szCs w:val="24"/>
        </w:rPr>
        <w:t>/</w:t>
      </w:r>
      <w:r w:rsidR="003E4126">
        <w:rPr>
          <w:b/>
          <w:sz w:val="24"/>
          <w:szCs w:val="24"/>
        </w:rPr>
        <w:t xml:space="preserve"> </w:t>
      </w:r>
      <w:r w:rsidR="003E4126" w:rsidRPr="003E4126">
        <w:rPr>
          <w:sz w:val="24"/>
          <w:szCs w:val="24"/>
        </w:rPr>
        <w:t>Справка-</w:t>
      </w:r>
      <w:r w:rsidR="003E4126" w:rsidRPr="00F25D45">
        <w:rPr>
          <w:sz w:val="24"/>
          <w:szCs w:val="24"/>
        </w:rPr>
        <w:t>декларация</w:t>
      </w:r>
      <w:r w:rsidR="00F37712" w:rsidRPr="00F25D45">
        <w:rPr>
          <w:sz w:val="24"/>
          <w:szCs w:val="24"/>
        </w:rPr>
        <w:t xml:space="preserve"> </w:t>
      </w:r>
      <w:r w:rsidR="003E4126" w:rsidRPr="00F25D45">
        <w:rPr>
          <w:sz w:val="24"/>
          <w:szCs w:val="24"/>
        </w:rPr>
        <w:t xml:space="preserve"> относно</w:t>
      </w:r>
      <w:r w:rsidR="003E4126" w:rsidRPr="003E4126">
        <w:rPr>
          <w:sz w:val="24"/>
          <w:szCs w:val="24"/>
        </w:rPr>
        <w:t xml:space="preserve"> активите, свързани с дейността, която</w:t>
      </w:r>
      <w:r w:rsidR="00867D01">
        <w:rPr>
          <w:sz w:val="24"/>
          <w:szCs w:val="24"/>
        </w:rPr>
        <w:t xml:space="preserve"> ще</w:t>
      </w:r>
      <w:r w:rsidR="003E4126" w:rsidRPr="003E4126">
        <w:rPr>
          <w:sz w:val="24"/>
          <w:szCs w:val="24"/>
        </w:rPr>
        <w:t xml:space="preserve"> се модернизира или активите, които ще </w:t>
      </w:r>
      <w:r w:rsidR="00405212">
        <w:rPr>
          <w:sz w:val="24"/>
          <w:szCs w:val="24"/>
        </w:rPr>
        <w:t>бъдат използвани</w:t>
      </w:r>
      <w:r w:rsidR="00D65FED">
        <w:rPr>
          <w:sz w:val="24"/>
          <w:szCs w:val="24"/>
        </w:rPr>
        <w:t xml:space="preserve"> при производството на нов продукт</w:t>
      </w:r>
      <w:r w:rsidR="0030727C">
        <w:rPr>
          <w:sz w:val="24"/>
          <w:szCs w:val="24"/>
        </w:rPr>
        <w:t xml:space="preserve"> </w:t>
      </w:r>
      <w:r w:rsidR="0030727C" w:rsidRPr="00F25D45">
        <w:rPr>
          <w:sz w:val="24"/>
          <w:szCs w:val="24"/>
        </w:rPr>
        <w:t>(Приложение Ъ)</w:t>
      </w:r>
      <w:r w:rsidR="003E4126" w:rsidRPr="003E4126">
        <w:rPr>
          <w:sz w:val="24"/>
          <w:szCs w:val="24"/>
        </w:rPr>
        <w:t xml:space="preserve"> </w:t>
      </w:r>
      <w:r w:rsidR="00A86D16">
        <w:rPr>
          <w:sz w:val="24"/>
          <w:szCs w:val="24"/>
        </w:rPr>
        <w:t xml:space="preserve">- </w:t>
      </w:r>
      <w:r w:rsidR="00A86D16" w:rsidRPr="0055394C">
        <w:rPr>
          <w:b/>
          <w:sz w:val="24"/>
          <w:szCs w:val="24"/>
        </w:rPr>
        <w:t xml:space="preserve">подписана с КЕП </w:t>
      </w:r>
      <w:r w:rsidR="00F005FD">
        <w:rPr>
          <w:b/>
          <w:sz w:val="24"/>
          <w:szCs w:val="24"/>
        </w:rPr>
        <w:t>от лице с право да представлява кандидата</w:t>
      </w:r>
      <w:r w:rsidR="00A86D16" w:rsidRPr="0055394C">
        <w:rPr>
          <w:b/>
          <w:sz w:val="24"/>
          <w:szCs w:val="24"/>
        </w:rPr>
        <w:t xml:space="preserve"> и прикач</w:t>
      </w:r>
      <w:r w:rsidR="001B36F6">
        <w:rPr>
          <w:b/>
          <w:sz w:val="24"/>
          <w:szCs w:val="24"/>
        </w:rPr>
        <w:t>ена</w:t>
      </w:r>
      <w:r w:rsidR="00A86D16" w:rsidRPr="0055394C">
        <w:rPr>
          <w:b/>
          <w:sz w:val="24"/>
          <w:szCs w:val="24"/>
        </w:rPr>
        <w:t xml:space="preserve"> в ИСУН 2020</w:t>
      </w:r>
      <w:r w:rsidR="003E4126" w:rsidRPr="003E4126">
        <w:rPr>
          <w:sz w:val="24"/>
          <w:szCs w:val="24"/>
        </w:rPr>
        <w:t xml:space="preserve">. </w:t>
      </w:r>
      <w:r w:rsidR="0027311E" w:rsidRPr="0027311E">
        <w:rPr>
          <w:sz w:val="24"/>
          <w:szCs w:val="24"/>
        </w:rPr>
        <w:t>В случаите, когато кандидатът се представлява заедно от няколко физически лица, се попълват данните и С</w:t>
      </w:r>
      <w:r w:rsidR="0027311E">
        <w:rPr>
          <w:sz w:val="24"/>
          <w:szCs w:val="24"/>
        </w:rPr>
        <w:t>правката</w:t>
      </w:r>
      <w:r w:rsidR="0027311E" w:rsidRPr="0027311E">
        <w:rPr>
          <w:sz w:val="24"/>
          <w:szCs w:val="24"/>
        </w:rPr>
        <w:t xml:space="preserve"> се подписва от всяко от тях.</w:t>
      </w:r>
    </w:p>
    <w:p w:rsidR="008400CB" w:rsidRPr="008400CB" w:rsidRDefault="00925EF3"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925EF3">
        <w:rPr>
          <w:sz w:val="24"/>
          <w:szCs w:val="24"/>
        </w:rPr>
        <w:t>Документът се изисква в случаите, когато приложимият режим по Елемент А „Инвестиции“ е „регионална помощ“ и чрез проекта се осъществява основна промяна в целия производствен процес на съществуващ стопански обект или диверсификацията на продукцията на стопански обект с продукти, които не са били произвеждани до момента в стопанския обект</w:t>
      </w:r>
      <w:r>
        <w:rPr>
          <w:sz w:val="24"/>
          <w:szCs w:val="24"/>
        </w:rPr>
        <w:t>.</w:t>
      </w:r>
    </w:p>
    <w:p w:rsidR="00570181" w:rsidRDefault="00570181"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p>
    <w:p w:rsidR="00C703E3" w:rsidRDefault="00301FE8"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r>
        <w:rPr>
          <w:b/>
          <w:sz w:val="24"/>
          <w:szCs w:val="24"/>
        </w:rPr>
        <w:t>у</w:t>
      </w:r>
      <w:r w:rsidR="004A20D9" w:rsidRPr="00D86B0C">
        <w:rPr>
          <w:b/>
          <w:sz w:val="24"/>
          <w:szCs w:val="24"/>
        </w:rPr>
        <w:t>/</w:t>
      </w:r>
      <w:r w:rsidR="009667F6">
        <w:rPr>
          <w:sz w:val="24"/>
          <w:szCs w:val="24"/>
        </w:rPr>
        <w:t xml:space="preserve"> </w:t>
      </w:r>
      <w:r w:rsidR="009667F6" w:rsidRPr="009667F6">
        <w:rPr>
          <w:sz w:val="24"/>
          <w:szCs w:val="24"/>
        </w:rPr>
        <w:t>Справка за иновационната дейност на предприятието през периода 2012-2014 година</w:t>
      </w:r>
      <w:r w:rsidR="00736B08">
        <w:rPr>
          <w:rStyle w:val="FootnoteReference"/>
          <w:sz w:val="24"/>
          <w:szCs w:val="24"/>
        </w:rPr>
        <w:footnoteReference w:id="37"/>
      </w:r>
      <w:r w:rsidR="009667F6" w:rsidRPr="009667F6">
        <w:rPr>
          <w:sz w:val="24"/>
          <w:szCs w:val="24"/>
        </w:rPr>
        <w:t xml:space="preserve"> (</w:t>
      </w:r>
      <w:r w:rsidR="002F3A18" w:rsidRPr="002F3A18">
        <w:rPr>
          <w:b/>
          <w:sz w:val="24"/>
          <w:szCs w:val="24"/>
        </w:rPr>
        <w:t xml:space="preserve"> </w:t>
      </w:r>
      <w:r w:rsidR="005217FB">
        <w:rPr>
          <w:b/>
          <w:sz w:val="24"/>
          <w:szCs w:val="24"/>
        </w:rPr>
        <w:t>подписан</w:t>
      </w:r>
      <w:r w:rsidR="00124646">
        <w:rPr>
          <w:b/>
          <w:sz w:val="24"/>
          <w:szCs w:val="24"/>
        </w:rPr>
        <w:t>а</w:t>
      </w:r>
      <w:r w:rsidR="005217FB">
        <w:rPr>
          <w:b/>
          <w:sz w:val="24"/>
          <w:szCs w:val="24"/>
        </w:rPr>
        <w:t xml:space="preserve"> с КЕП от лице с право да представлява кандидата</w:t>
      </w:r>
      <w:r w:rsidR="002F3A18" w:rsidRPr="002F3A18">
        <w:rPr>
          <w:b/>
          <w:sz w:val="24"/>
          <w:szCs w:val="24"/>
        </w:rPr>
        <w:t xml:space="preserve"> и прикачен</w:t>
      </w:r>
      <w:r w:rsidR="00124646">
        <w:rPr>
          <w:b/>
          <w:sz w:val="24"/>
          <w:szCs w:val="24"/>
        </w:rPr>
        <w:t>а</w:t>
      </w:r>
      <w:r w:rsidR="002F3A18" w:rsidRPr="002F3A18">
        <w:rPr>
          <w:b/>
          <w:sz w:val="24"/>
          <w:szCs w:val="24"/>
        </w:rPr>
        <w:t xml:space="preserve"> в ИСУН 2020</w:t>
      </w:r>
      <w:r w:rsidR="009667F6" w:rsidRPr="009667F6">
        <w:rPr>
          <w:sz w:val="24"/>
          <w:szCs w:val="24"/>
        </w:rPr>
        <w:t xml:space="preserve">. </w:t>
      </w:r>
      <w:r w:rsidR="00C703E3">
        <w:rPr>
          <w:sz w:val="24"/>
          <w:szCs w:val="24"/>
        </w:rPr>
        <w:t>Документът е незадължителен</w:t>
      </w:r>
      <w:r w:rsidR="00C703E3" w:rsidRPr="00C703E3">
        <w:rPr>
          <w:sz w:val="24"/>
          <w:szCs w:val="24"/>
        </w:rPr>
        <w:t>,</w:t>
      </w:r>
      <w:r w:rsidR="00C703E3">
        <w:rPr>
          <w:sz w:val="24"/>
          <w:szCs w:val="24"/>
        </w:rPr>
        <w:t xml:space="preserve"> но е</w:t>
      </w:r>
      <w:r w:rsidR="00C703E3" w:rsidRPr="00C703E3">
        <w:rPr>
          <w:sz w:val="24"/>
          <w:szCs w:val="24"/>
        </w:rPr>
        <w:t xml:space="preserve"> необходим за техническата и финансова оценка</w:t>
      </w:r>
      <w:r w:rsidR="00C703E3">
        <w:rPr>
          <w:sz w:val="24"/>
          <w:szCs w:val="24"/>
        </w:rPr>
        <w:t xml:space="preserve"> </w:t>
      </w:r>
      <w:r w:rsidR="00C703E3" w:rsidRPr="00C703E3">
        <w:rPr>
          <w:sz w:val="24"/>
          <w:szCs w:val="24"/>
        </w:rPr>
        <w:t>- непредставянето на съответния документ няма да доведе до отхвърляне на проектното предложение, но кандидатът ням</w:t>
      </w:r>
      <w:r w:rsidR="00C703E3">
        <w:rPr>
          <w:sz w:val="24"/>
          <w:szCs w:val="24"/>
        </w:rPr>
        <w:t>а да получи точки по критерий „</w:t>
      </w:r>
      <w:r w:rsidR="00C703E3" w:rsidRPr="00C703E3">
        <w:rPr>
          <w:sz w:val="24"/>
          <w:szCs w:val="24"/>
        </w:rPr>
        <w:t>Опит на кандидата в изпълнението на дейности, сходни с дейности</w:t>
      </w:r>
      <w:r w:rsidR="00C703E3">
        <w:rPr>
          <w:sz w:val="24"/>
          <w:szCs w:val="24"/>
        </w:rPr>
        <w:t>те, за които се кандидатства”.</w:t>
      </w:r>
    </w:p>
    <w:p w:rsidR="004A20D9" w:rsidRDefault="009667F6"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r w:rsidRPr="009667F6">
        <w:rPr>
          <w:sz w:val="24"/>
          <w:szCs w:val="24"/>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F25E9D">
        <w:rPr>
          <w:sz w:val="24"/>
          <w:szCs w:val="24"/>
        </w:rPr>
        <w:t>.</w:t>
      </w:r>
    </w:p>
    <w:p w:rsidR="004A20D9" w:rsidRDefault="004A20D9"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p>
    <w:p w:rsidR="00C703E3" w:rsidRDefault="00301FE8"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r>
        <w:rPr>
          <w:b/>
          <w:sz w:val="24"/>
          <w:szCs w:val="24"/>
        </w:rPr>
        <w:lastRenderedPageBreak/>
        <w:t>ф</w:t>
      </w:r>
      <w:r w:rsidR="004A20D9" w:rsidRPr="00D86B0C">
        <w:rPr>
          <w:b/>
          <w:sz w:val="24"/>
          <w:szCs w:val="24"/>
        </w:rPr>
        <w:t>/</w:t>
      </w:r>
      <w:r w:rsidR="002F3A18" w:rsidRPr="002F3A18">
        <w:t xml:space="preserve"> </w:t>
      </w:r>
      <w:r w:rsidR="002F3A18" w:rsidRPr="002F3A18">
        <w:rPr>
          <w:sz w:val="24"/>
          <w:szCs w:val="24"/>
        </w:rPr>
        <w:t>Справка за научноизследователска и развойна дейност за 2012г., 2013 г. и 2014 г.</w:t>
      </w:r>
      <w:r w:rsidR="00736B08">
        <w:rPr>
          <w:rStyle w:val="FootnoteReference"/>
          <w:sz w:val="24"/>
          <w:szCs w:val="24"/>
        </w:rPr>
        <w:footnoteReference w:id="38"/>
      </w:r>
      <w:r w:rsidR="00EF5F3D">
        <w:rPr>
          <w:sz w:val="24"/>
          <w:szCs w:val="24"/>
        </w:rPr>
        <w:t xml:space="preserve"> </w:t>
      </w:r>
      <w:r w:rsidR="00EF5F3D">
        <w:rPr>
          <w:b/>
          <w:sz w:val="24"/>
          <w:szCs w:val="24"/>
        </w:rPr>
        <w:t>-</w:t>
      </w:r>
      <w:r w:rsidR="002F3A18" w:rsidRPr="002F3A18">
        <w:rPr>
          <w:b/>
          <w:sz w:val="24"/>
          <w:szCs w:val="24"/>
        </w:rPr>
        <w:t xml:space="preserve"> </w:t>
      </w:r>
      <w:r w:rsidR="003D21CB">
        <w:rPr>
          <w:b/>
          <w:sz w:val="24"/>
          <w:szCs w:val="24"/>
        </w:rPr>
        <w:t>подписан</w:t>
      </w:r>
      <w:r w:rsidR="00EF5F3D">
        <w:rPr>
          <w:b/>
          <w:sz w:val="24"/>
          <w:szCs w:val="24"/>
        </w:rPr>
        <w:t>а</w:t>
      </w:r>
      <w:r w:rsidR="003D21CB">
        <w:rPr>
          <w:b/>
          <w:sz w:val="24"/>
          <w:szCs w:val="24"/>
        </w:rPr>
        <w:t xml:space="preserve"> с КЕП от лице с право да представлява кандидата</w:t>
      </w:r>
      <w:r w:rsidR="00CC5916">
        <w:rPr>
          <w:b/>
          <w:sz w:val="24"/>
          <w:szCs w:val="24"/>
        </w:rPr>
        <w:t xml:space="preserve"> </w:t>
      </w:r>
      <w:r w:rsidR="002F3A18" w:rsidRPr="002F3A18">
        <w:rPr>
          <w:b/>
          <w:sz w:val="24"/>
          <w:szCs w:val="24"/>
        </w:rPr>
        <w:t>и прикачен</w:t>
      </w:r>
      <w:r w:rsidR="00EF5F3D">
        <w:rPr>
          <w:b/>
          <w:sz w:val="24"/>
          <w:szCs w:val="24"/>
        </w:rPr>
        <w:t>а</w:t>
      </w:r>
      <w:r w:rsidR="002F3A18" w:rsidRPr="002F3A18">
        <w:rPr>
          <w:b/>
          <w:sz w:val="24"/>
          <w:szCs w:val="24"/>
        </w:rPr>
        <w:t xml:space="preserve"> в ИСУН 2020</w:t>
      </w:r>
      <w:r w:rsidR="002F3A18" w:rsidRPr="002F3A18">
        <w:rPr>
          <w:sz w:val="24"/>
          <w:szCs w:val="24"/>
        </w:rPr>
        <w:t xml:space="preserve">.  </w:t>
      </w:r>
      <w:r w:rsidR="00C703E3" w:rsidRPr="00C703E3">
        <w:rPr>
          <w:sz w:val="24"/>
          <w:szCs w:val="24"/>
        </w:rPr>
        <w:t>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w:t>
      </w:r>
      <w:r w:rsidR="003376E4" w:rsidRPr="003376E4">
        <w:rPr>
          <w:sz w:val="24"/>
          <w:szCs w:val="24"/>
        </w:rPr>
        <w:t>Предприятия, занимаващи се с научно-изследоват</w:t>
      </w:r>
      <w:r w:rsidR="003376E4">
        <w:rPr>
          <w:sz w:val="24"/>
          <w:szCs w:val="24"/>
        </w:rPr>
        <w:t>елска и развойна дейност (НИРД)“.</w:t>
      </w:r>
    </w:p>
    <w:p w:rsidR="004A20D9" w:rsidRDefault="002F3A18"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r w:rsidRPr="002F3A18">
        <w:rPr>
          <w:sz w:val="24"/>
          <w:szCs w:val="24"/>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4A20D9" w:rsidRPr="00BD3276" w:rsidRDefault="004A20D9" w:rsidP="00404633">
      <w:pPr>
        <w:pStyle w:val="ListParagraph"/>
        <w:pBdr>
          <w:top w:val="single" w:sz="4" w:space="1" w:color="auto"/>
          <w:left w:val="single" w:sz="4" w:space="4" w:color="auto"/>
          <w:bottom w:val="single" w:sz="4" w:space="1" w:color="auto"/>
          <w:right w:val="single" w:sz="4" w:space="4" w:color="auto"/>
        </w:pBdr>
        <w:tabs>
          <w:tab w:val="left" w:pos="5774"/>
        </w:tabs>
        <w:spacing w:after="360" w:line="240" w:lineRule="auto"/>
        <w:ind w:left="0"/>
        <w:jc w:val="both"/>
        <w:rPr>
          <w:sz w:val="24"/>
          <w:szCs w:val="24"/>
        </w:rPr>
      </w:pPr>
    </w:p>
    <w:p w:rsidR="000A671E"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х</w:t>
      </w:r>
      <w:r w:rsidR="00DB4760" w:rsidRPr="00BD3276">
        <w:rPr>
          <w:b/>
          <w:sz w:val="24"/>
          <w:szCs w:val="24"/>
        </w:rPr>
        <w:t>/</w:t>
      </w:r>
      <w:r w:rsidR="00DB4760" w:rsidRPr="00BD3276">
        <w:rPr>
          <w:sz w:val="24"/>
          <w:szCs w:val="24"/>
        </w:rPr>
        <w:t xml:space="preserve"> </w:t>
      </w:r>
      <w:r w:rsidR="005F04BC" w:rsidRPr="00BD3276">
        <w:rPr>
          <w:sz w:val="24"/>
          <w:szCs w:val="24"/>
        </w:rPr>
        <w:t>В случаите</w:t>
      </w:r>
      <w:r w:rsidR="00CE413E">
        <w:rPr>
          <w:sz w:val="24"/>
          <w:szCs w:val="24"/>
        </w:rPr>
        <w:t>,</w:t>
      </w:r>
      <w:r w:rsidR="005F04BC" w:rsidRPr="00BD3276">
        <w:rPr>
          <w:sz w:val="24"/>
          <w:szCs w:val="24"/>
        </w:rPr>
        <w:t xml:space="preserve"> когато кандидатът е заявил въведен</w:t>
      </w:r>
      <w:r w:rsidR="0056156F" w:rsidRPr="00BD3276">
        <w:rPr>
          <w:sz w:val="24"/>
          <w:szCs w:val="24"/>
        </w:rPr>
        <w:t>и</w:t>
      </w:r>
      <w:r w:rsidR="005F04BC" w:rsidRPr="00BD3276">
        <w:rPr>
          <w:sz w:val="24"/>
          <w:szCs w:val="24"/>
        </w:rPr>
        <w:t xml:space="preserve"> </w:t>
      </w:r>
      <w:r w:rsidR="0056156F" w:rsidRPr="00BD3276">
        <w:rPr>
          <w:sz w:val="24"/>
          <w:szCs w:val="24"/>
        </w:rPr>
        <w:t xml:space="preserve">международно признати стандарти  </w:t>
      </w:r>
      <w:r w:rsidR="005F04BC" w:rsidRPr="00BD3276">
        <w:rPr>
          <w:sz w:val="24"/>
          <w:szCs w:val="24"/>
        </w:rPr>
        <w:t>(съгласно</w:t>
      </w:r>
      <w:r w:rsidR="003642AA" w:rsidRPr="00BD3276">
        <w:rPr>
          <w:sz w:val="24"/>
          <w:szCs w:val="24"/>
        </w:rPr>
        <w:t xml:space="preserve"> т. 11</w:t>
      </w:r>
      <w:r w:rsidR="00EC565E" w:rsidRPr="00BD3276">
        <w:rPr>
          <w:sz w:val="24"/>
          <w:szCs w:val="24"/>
        </w:rPr>
        <w:t xml:space="preserve"> </w:t>
      </w:r>
      <w:r w:rsidR="003642AA" w:rsidRPr="00BD3276">
        <w:rPr>
          <w:sz w:val="24"/>
          <w:szCs w:val="24"/>
        </w:rPr>
        <w:t>от Формуляра за кандидатстване</w:t>
      </w:r>
      <w:r w:rsidR="005F04BC" w:rsidRPr="00BD3276">
        <w:rPr>
          <w:sz w:val="24"/>
          <w:szCs w:val="24"/>
        </w:rPr>
        <w:t>)</w:t>
      </w:r>
      <w:r w:rsidR="000A671E" w:rsidRPr="00BD3276">
        <w:rPr>
          <w:sz w:val="24"/>
          <w:szCs w:val="24"/>
        </w:rPr>
        <w:t xml:space="preserve">, той следва да представи </w:t>
      </w:r>
      <w:r w:rsidR="004C288C" w:rsidRPr="004C288C">
        <w:rPr>
          <w:sz w:val="24"/>
          <w:szCs w:val="24"/>
        </w:rPr>
        <w:t xml:space="preserve">сертификат, който е валиден към датата на кандидатстване - </w:t>
      </w:r>
      <w:r w:rsidR="007B1399" w:rsidRPr="007B1399">
        <w:rPr>
          <w:b/>
          <w:sz w:val="24"/>
          <w:szCs w:val="24"/>
        </w:rPr>
        <w:t xml:space="preserve"> </w:t>
      </w:r>
      <w:r w:rsidR="00CC5916">
        <w:rPr>
          <w:b/>
          <w:sz w:val="24"/>
          <w:szCs w:val="24"/>
        </w:rPr>
        <w:t xml:space="preserve">подписан с КЕП от лице с право да представлява кандидата </w:t>
      </w:r>
      <w:r w:rsidR="007B1399" w:rsidRPr="007B1399">
        <w:rPr>
          <w:b/>
          <w:sz w:val="24"/>
          <w:szCs w:val="24"/>
        </w:rPr>
        <w:t>и прикачен в ИСУН 2020</w:t>
      </w:r>
      <w:r w:rsidR="003376E4">
        <w:rPr>
          <w:sz w:val="24"/>
          <w:szCs w:val="24"/>
        </w:rPr>
        <w:t xml:space="preserve">. </w:t>
      </w:r>
      <w:r w:rsidR="003376E4" w:rsidRPr="003376E4">
        <w:rPr>
          <w:sz w:val="24"/>
          <w:szCs w:val="24"/>
        </w:rPr>
        <w:t>Документът е незадължителен, но е необходим за техническата и финансова оценка</w:t>
      </w:r>
      <w:r w:rsidR="003376E4">
        <w:rPr>
          <w:sz w:val="24"/>
          <w:szCs w:val="24"/>
        </w:rPr>
        <w:t xml:space="preserve"> - н</w:t>
      </w:r>
      <w:r w:rsidR="003376E4" w:rsidRPr="003376E4">
        <w:rPr>
          <w:sz w:val="24"/>
          <w:szCs w:val="24"/>
        </w:rPr>
        <w:t>епредставянето на съответния документ</w:t>
      </w:r>
      <w:r w:rsidR="00DE059E">
        <w:rPr>
          <w:sz w:val="24"/>
          <w:szCs w:val="24"/>
        </w:rPr>
        <w:t>/</w:t>
      </w:r>
      <w:r w:rsidR="008A17C6">
        <w:rPr>
          <w:sz w:val="24"/>
          <w:szCs w:val="24"/>
        </w:rPr>
        <w:t>и</w:t>
      </w:r>
      <w:r w:rsidR="003376E4" w:rsidRPr="003376E4">
        <w:rPr>
          <w:sz w:val="24"/>
          <w:szCs w:val="24"/>
        </w:rPr>
        <w:t xml:space="preserve"> няма да доведе до отхвърляне на проектното пред</w:t>
      </w:r>
      <w:r w:rsidR="0046036D">
        <w:rPr>
          <w:sz w:val="24"/>
          <w:szCs w:val="24"/>
        </w:rPr>
        <w:t>ложение, но кандидатът може да</w:t>
      </w:r>
      <w:r w:rsidR="003376E4" w:rsidRPr="003376E4">
        <w:rPr>
          <w:sz w:val="24"/>
          <w:szCs w:val="24"/>
        </w:rPr>
        <w:t xml:space="preserve"> по</w:t>
      </w:r>
      <w:r w:rsidR="0046036D">
        <w:rPr>
          <w:sz w:val="24"/>
          <w:szCs w:val="24"/>
        </w:rPr>
        <w:t>лучи</w:t>
      </w:r>
      <w:r w:rsidR="003376E4" w:rsidRPr="003376E4">
        <w:rPr>
          <w:sz w:val="24"/>
          <w:szCs w:val="24"/>
        </w:rPr>
        <w:t xml:space="preserve"> по-малък брой точки </w:t>
      </w:r>
      <w:r w:rsidR="008A17C6">
        <w:rPr>
          <w:sz w:val="24"/>
          <w:szCs w:val="24"/>
        </w:rPr>
        <w:t xml:space="preserve">или </w:t>
      </w:r>
      <w:r w:rsidR="0046036D">
        <w:rPr>
          <w:sz w:val="24"/>
          <w:szCs w:val="24"/>
        </w:rPr>
        <w:t xml:space="preserve">да не получи точки </w:t>
      </w:r>
      <w:r w:rsidR="003376E4" w:rsidRPr="003376E4">
        <w:rPr>
          <w:sz w:val="24"/>
          <w:szCs w:val="24"/>
        </w:rPr>
        <w:t>по критерий “Внедрени стандарти и системи за управление”.</w:t>
      </w:r>
    </w:p>
    <w:p w:rsidR="00DE5F3D" w:rsidRDefault="00DE5F3D"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DE5F3D"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ц</w:t>
      </w:r>
      <w:r w:rsidR="00DE5F3D" w:rsidRPr="00F7506B">
        <w:rPr>
          <w:b/>
          <w:sz w:val="24"/>
          <w:szCs w:val="24"/>
        </w:rPr>
        <w:t>/</w:t>
      </w:r>
      <w:r w:rsidR="00DE5F3D">
        <w:rPr>
          <w:sz w:val="24"/>
          <w:szCs w:val="24"/>
        </w:rPr>
        <w:t xml:space="preserve"> Документи, доказващи наличието на п</w:t>
      </w:r>
      <w:r w:rsidR="00DE5F3D" w:rsidRPr="00DE5F3D">
        <w:rPr>
          <w:sz w:val="24"/>
          <w:szCs w:val="24"/>
        </w:rPr>
        <w:t xml:space="preserve">ридобити права по интелектуална собственост от кандидата, управителя и/или </w:t>
      </w:r>
      <w:proofErr w:type="spellStart"/>
      <w:r w:rsidR="00DE5F3D" w:rsidRPr="00DE5F3D">
        <w:rPr>
          <w:sz w:val="24"/>
          <w:szCs w:val="24"/>
        </w:rPr>
        <w:t>съдружниците</w:t>
      </w:r>
      <w:proofErr w:type="spellEnd"/>
      <w:r w:rsidR="00DE5F3D" w:rsidRPr="00DE5F3D">
        <w:rPr>
          <w:sz w:val="24"/>
          <w:szCs w:val="24"/>
        </w:rPr>
        <w:t xml:space="preserve">  му</w:t>
      </w:r>
      <w:r w:rsidR="00DE5F3D">
        <w:rPr>
          <w:sz w:val="24"/>
          <w:szCs w:val="24"/>
        </w:rPr>
        <w:t xml:space="preserve"> -</w:t>
      </w:r>
      <w:r w:rsidR="00DE5F3D" w:rsidRPr="00DE5F3D">
        <w:rPr>
          <w:b/>
          <w:sz w:val="24"/>
          <w:szCs w:val="24"/>
        </w:rPr>
        <w:t xml:space="preserve"> </w:t>
      </w:r>
      <w:r w:rsidR="00CC5916">
        <w:rPr>
          <w:b/>
          <w:sz w:val="24"/>
          <w:szCs w:val="24"/>
        </w:rPr>
        <w:t>подписан</w:t>
      </w:r>
      <w:r w:rsidR="00D17B16">
        <w:rPr>
          <w:b/>
          <w:sz w:val="24"/>
          <w:szCs w:val="24"/>
        </w:rPr>
        <w:t>и</w:t>
      </w:r>
      <w:r w:rsidR="00CC5916">
        <w:rPr>
          <w:b/>
          <w:sz w:val="24"/>
          <w:szCs w:val="24"/>
        </w:rPr>
        <w:t xml:space="preserve"> с КЕП от лице с право да представлява кандидата</w:t>
      </w:r>
      <w:r w:rsidR="00DE5F3D" w:rsidRPr="00DE5F3D">
        <w:rPr>
          <w:b/>
          <w:sz w:val="24"/>
          <w:szCs w:val="24"/>
        </w:rPr>
        <w:t xml:space="preserve"> и прикачен</w:t>
      </w:r>
      <w:r w:rsidR="00D17B16">
        <w:rPr>
          <w:b/>
          <w:sz w:val="24"/>
          <w:szCs w:val="24"/>
        </w:rPr>
        <w:t>и</w:t>
      </w:r>
      <w:r w:rsidR="00DE5F3D" w:rsidRPr="00DE5F3D">
        <w:rPr>
          <w:b/>
          <w:sz w:val="24"/>
          <w:szCs w:val="24"/>
        </w:rPr>
        <w:t xml:space="preserve"> в ИСУН 2020</w:t>
      </w:r>
      <w:r w:rsidR="00DE5F3D">
        <w:rPr>
          <w:b/>
          <w:sz w:val="24"/>
          <w:szCs w:val="24"/>
        </w:rPr>
        <w:t xml:space="preserve">. </w:t>
      </w:r>
      <w:r w:rsidR="00F7506B" w:rsidRPr="003376E4">
        <w:rPr>
          <w:sz w:val="24"/>
          <w:szCs w:val="24"/>
        </w:rPr>
        <w:t>Документът е незадължителен, но е необходим за техническат</w:t>
      </w:r>
      <w:r w:rsidR="00F7506B">
        <w:rPr>
          <w:sz w:val="24"/>
          <w:szCs w:val="24"/>
        </w:rPr>
        <w:t>а и финансова оценка  - н</w:t>
      </w:r>
      <w:r w:rsidR="00F7506B" w:rsidRPr="003376E4">
        <w:rPr>
          <w:sz w:val="24"/>
          <w:szCs w:val="24"/>
        </w:rPr>
        <w:t>епредставянето на съответния документ</w:t>
      </w:r>
      <w:r w:rsidR="00F7506B">
        <w:rPr>
          <w:sz w:val="24"/>
          <w:szCs w:val="24"/>
        </w:rPr>
        <w:t>/и</w:t>
      </w:r>
      <w:r w:rsidR="00F7506B" w:rsidRPr="003376E4">
        <w:rPr>
          <w:sz w:val="24"/>
          <w:szCs w:val="24"/>
        </w:rPr>
        <w:t xml:space="preserve"> няма да доведе до отхвърляне на проектното пред</w:t>
      </w:r>
      <w:r w:rsidR="00F7506B">
        <w:rPr>
          <w:sz w:val="24"/>
          <w:szCs w:val="24"/>
        </w:rPr>
        <w:t>ложение, но кандидатът може да</w:t>
      </w:r>
      <w:r w:rsidR="00F7506B" w:rsidRPr="003376E4">
        <w:rPr>
          <w:sz w:val="24"/>
          <w:szCs w:val="24"/>
        </w:rPr>
        <w:t xml:space="preserve"> по</w:t>
      </w:r>
      <w:r w:rsidR="00F7506B">
        <w:rPr>
          <w:sz w:val="24"/>
          <w:szCs w:val="24"/>
        </w:rPr>
        <w:t>лучи</w:t>
      </w:r>
      <w:r w:rsidR="00F7506B" w:rsidRPr="003376E4">
        <w:rPr>
          <w:sz w:val="24"/>
          <w:szCs w:val="24"/>
        </w:rPr>
        <w:t xml:space="preserve"> по-малък брой точки </w:t>
      </w:r>
      <w:r w:rsidR="00F7506B">
        <w:rPr>
          <w:sz w:val="24"/>
          <w:szCs w:val="24"/>
        </w:rPr>
        <w:t>или да не получи точки по критерий „</w:t>
      </w:r>
      <w:r w:rsidR="00F7506B" w:rsidRPr="00F7506B">
        <w:rPr>
          <w:sz w:val="24"/>
          <w:szCs w:val="24"/>
        </w:rPr>
        <w:t xml:space="preserve">Придобити права по интелектуална собственост от кандидата, управителя и/или </w:t>
      </w:r>
      <w:proofErr w:type="spellStart"/>
      <w:r w:rsidR="00F7506B" w:rsidRPr="00F7506B">
        <w:rPr>
          <w:sz w:val="24"/>
          <w:szCs w:val="24"/>
        </w:rPr>
        <w:t>съдружниците</w:t>
      </w:r>
      <w:proofErr w:type="spellEnd"/>
      <w:r w:rsidR="00F7506B" w:rsidRPr="00F7506B">
        <w:rPr>
          <w:sz w:val="24"/>
          <w:szCs w:val="24"/>
        </w:rPr>
        <w:t xml:space="preserve">  му</w:t>
      </w:r>
      <w:r w:rsidR="00F7506B">
        <w:rPr>
          <w:sz w:val="24"/>
          <w:szCs w:val="24"/>
        </w:rPr>
        <w:t>“.</w:t>
      </w:r>
    </w:p>
    <w:p w:rsidR="00F61CF8" w:rsidRDefault="00F61CF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F61CF8"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ч</w:t>
      </w:r>
      <w:r w:rsidR="00F61CF8">
        <w:rPr>
          <w:b/>
          <w:sz w:val="24"/>
          <w:szCs w:val="24"/>
        </w:rPr>
        <w:t xml:space="preserve">/ </w:t>
      </w:r>
      <w:r w:rsidR="00F61CF8">
        <w:rPr>
          <w:sz w:val="24"/>
          <w:szCs w:val="24"/>
        </w:rPr>
        <w:t xml:space="preserve">Писма за референция от потенциални клиенти </w:t>
      </w:r>
      <w:r w:rsidR="001E5168">
        <w:rPr>
          <w:sz w:val="24"/>
          <w:szCs w:val="24"/>
        </w:rPr>
        <w:t>–</w:t>
      </w:r>
      <w:r w:rsidR="00F61CF8">
        <w:rPr>
          <w:sz w:val="24"/>
          <w:szCs w:val="24"/>
        </w:rPr>
        <w:t xml:space="preserve"> </w:t>
      </w:r>
      <w:r w:rsidR="001E5168" w:rsidRPr="001E5168">
        <w:rPr>
          <w:b/>
          <w:sz w:val="24"/>
          <w:szCs w:val="24"/>
        </w:rPr>
        <w:t>подписани с КЕП от лице с право да представлява кандидата и прикачени в ИСУН 2020</w:t>
      </w:r>
      <w:r w:rsidR="001E5168">
        <w:rPr>
          <w:b/>
          <w:sz w:val="24"/>
          <w:szCs w:val="24"/>
        </w:rPr>
        <w:t xml:space="preserve">. </w:t>
      </w:r>
      <w:r w:rsidR="005975B2">
        <w:rPr>
          <w:b/>
          <w:sz w:val="24"/>
          <w:szCs w:val="24"/>
        </w:rPr>
        <w:t xml:space="preserve"> </w:t>
      </w:r>
      <w:r w:rsidR="005975B2" w:rsidRPr="005975B2">
        <w:rPr>
          <w:sz w:val="24"/>
          <w:szCs w:val="24"/>
        </w:rPr>
        <w:t>Документът е незадължителен, но е необходим за техническата и финансова оценка на проектните предложения - непредставянето на съответния документ/и няма да доведе до отхвърляне на проектното предложение, но кандидатът може да получи по-малък брой точки или да не получи точки по критерий</w:t>
      </w:r>
      <w:r w:rsidR="005975B2">
        <w:rPr>
          <w:sz w:val="24"/>
          <w:szCs w:val="24"/>
        </w:rPr>
        <w:t xml:space="preserve"> </w:t>
      </w:r>
      <w:r w:rsidR="00BF0CE1">
        <w:rPr>
          <w:sz w:val="24"/>
          <w:szCs w:val="24"/>
        </w:rPr>
        <w:t>„</w:t>
      </w:r>
      <w:r w:rsidR="00BF0CE1" w:rsidRPr="00BF0CE1">
        <w:rPr>
          <w:sz w:val="24"/>
          <w:szCs w:val="24"/>
        </w:rPr>
        <w:t>Пазарна приложимост и жизнеспособност на иновацията</w:t>
      </w:r>
      <w:r w:rsidR="00BF0CE1">
        <w:rPr>
          <w:sz w:val="24"/>
          <w:szCs w:val="24"/>
        </w:rPr>
        <w:t>“.</w:t>
      </w:r>
    </w:p>
    <w:p w:rsidR="00BF0CE1" w:rsidRDefault="00BF0CE1"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EF5F3D" w:rsidRPr="00BD3276" w:rsidRDefault="00301FE8" w:rsidP="00A94FAB">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b/>
          <w:sz w:val="24"/>
          <w:szCs w:val="24"/>
        </w:rPr>
        <w:t>ш</w:t>
      </w:r>
      <w:r w:rsidR="00CB6282">
        <w:rPr>
          <w:b/>
          <w:sz w:val="24"/>
          <w:szCs w:val="24"/>
        </w:rPr>
        <w:t xml:space="preserve">/ </w:t>
      </w:r>
      <w:r w:rsidR="00CB6282" w:rsidRPr="00CB6282">
        <w:rPr>
          <w:sz w:val="24"/>
          <w:szCs w:val="24"/>
        </w:rPr>
        <w:t>Референция от органа, предоставил помощта</w:t>
      </w:r>
      <w:r w:rsidR="00CB6282">
        <w:rPr>
          <w:sz w:val="24"/>
          <w:szCs w:val="24"/>
        </w:rPr>
        <w:t xml:space="preserve"> по съответната Рамкова програма</w:t>
      </w:r>
      <w:r w:rsidR="00CB6282" w:rsidRPr="00CB6282">
        <w:rPr>
          <w:sz w:val="24"/>
          <w:szCs w:val="24"/>
        </w:rPr>
        <w:t>, за добро изпълнение на  проект</w:t>
      </w:r>
      <w:r w:rsidR="00CB6282">
        <w:rPr>
          <w:sz w:val="24"/>
          <w:szCs w:val="24"/>
        </w:rPr>
        <w:t xml:space="preserve"> - </w:t>
      </w:r>
      <w:r w:rsidR="00BD7417">
        <w:rPr>
          <w:b/>
          <w:sz w:val="24"/>
          <w:szCs w:val="24"/>
        </w:rPr>
        <w:t>подписана</w:t>
      </w:r>
      <w:r w:rsidR="00BD7417" w:rsidRPr="00BD7417">
        <w:rPr>
          <w:b/>
          <w:sz w:val="24"/>
          <w:szCs w:val="24"/>
        </w:rPr>
        <w:t xml:space="preserve"> с КЕП от лице с право да представлява кандидата и прик</w:t>
      </w:r>
      <w:r w:rsidR="00BD7417">
        <w:rPr>
          <w:b/>
          <w:sz w:val="24"/>
          <w:szCs w:val="24"/>
        </w:rPr>
        <w:t>ачена</w:t>
      </w:r>
      <w:r w:rsidR="00BD7417" w:rsidRPr="00BD7417">
        <w:rPr>
          <w:b/>
          <w:sz w:val="24"/>
          <w:szCs w:val="24"/>
        </w:rPr>
        <w:t xml:space="preserve"> в ИСУН 2020</w:t>
      </w:r>
      <w:r w:rsidR="00BD7417">
        <w:rPr>
          <w:b/>
          <w:sz w:val="24"/>
          <w:szCs w:val="24"/>
        </w:rPr>
        <w:t xml:space="preserve">. </w:t>
      </w:r>
      <w:r w:rsidR="00BD7417" w:rsidRPr="00BD7417">
        <w:rPr>
          <w:sz w:val="24"/>
          <w:szCs w:val="24"/>
        </w:rPr>
        <w:t xml:space="preserve">Документът е незадължителен, но е необходим за техническата и финансова оценка на проектните предложения - непредставянето на съответния документ/и няма да доведе до отхвърляне на проектното предложение, но </w:t>
      </w:r>
      <w:r w:rsidR="00BD7417" w:rsidRPr="00BD7417">
        <w:rPr>
          <w:sz w:val="24"/>
          <w:szCs w:val="24"/>
        </w:rPr>
        <w:lastRenderedPageBreak/>
        <w:t>кандидатът може да получи по-малък брой точки или да не получи точки по критерий „</w:t>
      </w:r>
      <w:r w:rsidR="00E365DD" w:rsidRPr="00E365DD">
        <w:rPr>
          <w:sz w:val="24"/>
          <w:szCs w:val="24"/>
        </w:rPr>
        <w:t>Надграждане на резултати по Рамковите програми на ЕС</w:t>
      </w:r>
      <w:r w:rsidR="00BD7417" w:rsidRPr="00BD7417">
        <w:rPr>
          <w:sz w:val="24"/>
          <w:szCs w:val="24"/>
        </w:rPr>
        <w:t>“.</w:t>
      </w:r>
    </w:p>
    <w:p w:rsidR="000D10A3" w:rsidRPr="00BD3276" w:rsidRDefault="000D10A3" w:rsidP="00FC3D1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sz w:val="24"/>
          <w:szCs w:val="24"/>
        </w:rPr>
      </w:pPr>
      <w:r w:rsidRPr="00B01DE8">
        <w:rPr>
          <w:sz w:val="24"/>
          <w:szCs w:val="24"/>
        </w:rPr>
        <w:t xml:space="preserve">Кандидатите следва да се уверят, че всички документи са представени в изискуемата форма (всички декларации са попълнени по образец и са подписани </w:t>
      </w:r>
      <w:r w:rsidR="00957933" w:rsidRPr="00B01DE8">
        <w:rPr>
          <w:sz w:val="24"/>
          <w:szCs w:val="24"/>
        </w:rPr>
        <w:t xml:space="preserve"> с КЕП от </w:t>
      </w:r>
      <w:r w:rsidRPr="00B01DE8">
        <w:rPr>
          <w:sz w:val="24"/>
          <w:szCs w:val="24"/>
        </w:rPr>
        <w:t xml:space="preserve">толкова </w:t>
      </w:r>
      <w:r w:rsidR="00D317C6" w:rsidRPr="00B01DE8">
        <w:rPr>
          <w:sz w:val="24"/>
          <w:szCs w:val="24"/>
        </w:rPr>
        <w:t xml:space="preserve">лица </w:t>
      </w:r>
      <w:r w:rsidRPr="00B01DE8">
        <w:rPr>
          <w:sz w:val="24"/>
          <w:szCs w:val="24"/>
        </w:rPr>
        <w:t xml:space="preserve"> – колкото се изисква съгласно </w:t>
      </w:r>
      <w:r w:rsidR="00D317C6" w:rsidRPr="00B01DE8">
        <w:rPr>
          <w:sz w:val="24"/>
          <w:szCs w:val="24"/>
        </w:rPr>
        <w:t>настоящите Насоки за кандидатстване</w:t>
      </w:r>
      <w:r w:rsidRPr="00B01DE8">
        <w:rPr>
          <w:sz w:val="24"/>
          <w:szCs w:val="24"/>
        </w:rPr>
        <w:t>).</w:t>
      </w:r>
      <w:r w:rsidRPr="00BD3276">
        <w:rPr>
          <w:sz w:val="24"/>
          <w:szCs w:val="24"/>
        </w:rPr>
        <w:t xml:space="preserve"> </w:t>
      </w:r>
    </w:p>
    <w:p w:rsidR="00927737" w:rsidRPr="00BD3276" w:rsidRDefault="00FC3D12" w:rsidP="00FC3D1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D3276">
        <w:rPr>
          <w:rFonts w:eastAsia="Times New Roman" w:cstheme="minorHAnsi"/>
          <w:snapToGrid w:val="0"/>
          <w:sz w:val="24"/>
          <w:szCs w:val="24"/>
        </w:rPr>
        <w:t xml:space="preserve">В случай че кандидатът не е представил някой от документи </w:t>
      </w:r>
      <w:r w:rsidR="0036324D" w:rsidRPr="00BD3276">
        <w:rPr>
          <w:rFonts w:eastAsia="Times New Roman" w:cstheme="minorHAnsi"/>
          <w:snapToGrid w:val="0"/>
          <w:sz w:val="24"/>
          <w:szCs w:val="24"/>
        </w:rPr>
        <w:t>по букви от б/ до</w:t>
      </w:r>
      <w:r w:rsidR="00A2349D">
        <w:rPr>
          <w:rFonts w:eastAsia="Times New Roman" w:cstheme="minorHAnsi"/>
          <w:snapToGrid w:val="0"/>
          <w:sz w:val="24"/>
          <w:szCs w:val="24"/>
        </w:rPr>
        <w:t xml:space="preserve"> й/ и от л/ до</w:t>
      </w:r>
      <w:r w:rsidR="0036324D" w:rsidRPr="00BD3276">
        <w:rPr>
          <w:rFonts w:eastAsia="Times New Roman" w:cstheme="minorHAnsi"/>
          <w:snapToGrid w:val="0"/>
          <w:sz w:val="24"/>
          <w:szCs w:val="24"/>
        </w:rPr>
        <w:t xml:space="preserve"> </w:t>
      </w:r>
      <w:r w:rsidR="002B3EDD">
        <w:rPr>
          <w:rFonts w:eastAsia="Times New Roman" w:cstheme="minorHAnsi"/>
          <w:snapToGrid w:val="0"/>
          <w:sz w:val="24"/>
          <w:szCs w:val="24"/>
        </w:rPr>
        <w:t>ш</w:t>
      </w:r>
      <w:r w:rsidR="0036324D" w:rsidRPr="00BD3276">
        <w:rPr>
          <w:rFonts w:eastAsia="Times New Roman" w:cstheme="minorHAnsi"/>
          <w:snapToGrid w:val="0"/>
          <w:sz w:val="24"/>
          <w:szCs w:val="24"/>
        </w:rPr>
        <w:t xml:space="preserve">/ </w:t>
      </w:r>
      <w:r w:rsidRPr="00BD3276">
        <w:rPr>
          <w:rFonts w:eastAsia="Times New Roman" w:cstheme="minorHAnsi"/>
          <w:snapToGrid w:val="0"/>
          <w:sz w:val="24"/>
          <w:szCs w:val="24"/>
        </w:rPr>
        <w:t>или ги е представил, но не са в изискуемата форма, същите могат да бъдат изискани допълнително от Оценителната комисия  като за целта ще бъде предоставян срок от 5 (пет) работни дни от датата на получаване на искането за предоставяне на допълнителни разяснения/документи, като денят на получаване на искането не се брои</w:t>
      </w:r>
      <w:r w:rsidR="008409B8">
        <w:rPr>
          <w:rFonts w:eastAsia="Times New Roman" w:cstheme="minorHAnsi"/>
          <w:snapToGrid w:val="0"/>
          <w:sz w:val="24"/>
          <w:szCs w:val="24"/>
        </w:rPr>
        <w:t xml:space="preserve">. </w:t>
      </w:r>
      <w:r w:rsidR="000D10A3" w:rsidRPr="00BD3276">
        <w:rPr>
          <w:rFonts w:eastAsia="Times New Roman" w:cstheme="minorHAnsi"/>
          <w:snapToGrid w:val="0"/>
          <w:sz w:val="24"/>
          <w:szCs w:val="24"/>
        </w:rPr>
        <w:t>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За дата на получаване на исканията за документи/информация се счита датата отбелязана в ИСУН 2020, на която кандидатът е влязъл в профила си</w:t>
      </w:r>
      <w:r w:rsidR="004A6D93">
        <w:rPr>
          <w:rFonts w:eastAsia="Times New Roman" w:cstheme="minorHAnsi"/>
          <w:snapToGrid w:val="0"/>
          <w:sz w:val="24"/>
          <w:szCs w:val="24"/>
        </w:rPr>
        <w:t>,</w:t>
      </w:r>
      <w:r w:rsidR="000D10A3" w:rsidRPr="00BD3276">
        <w:rPr>
          <w:rFonts w:eastAsia="Times New Roman" w:cstheme="minorHAnsi"/>
          <w:snapToGrid w:val="0"/>
          <w:sz w:val="24"/>
          <w:szCs w:val="24"/>
        </w:rPr>
        <w:t xml:space="preserve"> за да провери съдържанието на изпратеното чрез ИСУН искане. В случай че посоченото действие не бъде отразено в ИСУН в рамките на </w:t>
      </w:r>
      <w:r w:rsidR="00A53B9C">
        <w:rPr>
          <w:rFonts w:eastAsia="Times New Roman" w:cstheme="minorHAnsi"/>
          <w:snapToGrid w:val="0"/>
          <w:sz w:val="24"/>
          <w:szCs w:val="24"/>
        </w:rPr>
        <w:t>3</w:t>
      </w:r>
      <w:r w:rsidR="000D10A3" w:rsidRPr="00BD3276">
        <w:rPr>
          <w:rFonts w:eastAsia="Times New Roman" w:cstheme="minorHAnsi"/>
          <w:snapToGrid w:val="0"/>
          <w:sz w:val="24"/>
          <w:szCs w:val="24"/>
        </w:rPr>
        <w:t xml:space="preserve"> дни от изпращане на искането, срокът за представяне на допълнителни документи/информация започва да тече от деня следващ изтичането на </w:t>
      </w:r>
      <w:r w:rsidR="00A53B9C">
        <w:rPr>
          <w:rFonts w:eastAsia="Times New Roman" w:cstheme="minorHAnsi"/>
          <w:snapToGrid w:val="0"/>
          <w:sz w:val="24"/>
          <w:szCs w:val="24"/>
        </w:rPr>
        <w:t>3</w:t>
      </w:r>
      <w:r w:rsidR="000D10A3" w:rsidRPr="00BD3276">
        <w:rPr>
          <w:rFonts w:eastAsia="Times New Roman" w:cstheme="minorHAnsi"/>
          <w:snapToGrid w:val="0"/>
          <w:sz w:val="24"/>
          <w:szCs w:val="24"/>
        </w:rPr>
        <w:t xml:space="preserve"> дневния срок. </w:t>
      </w:r>
    </w:p>
    <w:p w:rsidR="002D0080" w:rsidRPr="00BD3276" w:rsidRDefault="009A1C82" w:rsidP="002D0080">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01DE8">
        <w:rPr>
          <w:rFonts w:eastAsia="Times New Roman" w:cstheme="minorHAnsi"/>
          <w:snapToGrid w:val="0"/>
          <w:sz w:val="24"/>
          <w:szCs w:val="24"/>
        </w:rPr>
        <w:t>В случай на непредставяне на изискан документ след изискването му</w:t>
      </w:r>
      <w:r w:rsidR="008409B8" w:rsidRPr="00B01DE8">
        <w:rPr>
          <w:rFonts w:eastAsia="Times New Roman" w:cstheme="minorHAnsi"/>
          <w:snapToGrid w:val="0"/>
          <w:sz w:val="24"/>
          <w:szCs w:val="24"/>
        </w:rPr>
        <w:t xml:space="preserve"> </w:t>
      </w:r>
      <w:r w:rsidRPr="00B01DE8">
        <w:rPr>
          <w:rFonts w:eastAsia="Times New Roman" w:cstheme="minorHAnsi"/>
          <w:snapToGrid w:val="0"/>
          <w:sz w:val="24"/>
          <w:szCs w:val="24"/>
        </w:rPr>
        <w:t xml:space="preserve">или </w:t>
      </w:r>
      <w:r w:rsidR="00DE3B2A" w:rsidRPr="00B01DE8">
        <w:rPr>
          <w:rFonts w:eastAsia="Times New Roman" w:cstheme="minorHAnsi"/>
          <w:snapToGrid w:val="0"/>
          <w:sz w:val="24"/>
          <w:szCs w:val="24"/>
        </w:rPr>
        <w:t xml:space="preserve">след </w:t>
      </w:r>
      <w:r w:rsidRPr="00B01DE8">
        <w:rPr>
          <w:rFonts w:eastAsia="Times New Roman" w:cstheme="minorHAnsi"/>
          <w:snapToGrid w:val="0"/>
          <w:sz w:val="24"/>
          <w:szCs w:val="24"/>
        </w:rPr>
        <w:t>представянето му, но не в изискуемата форма, или представянето му, но след изтичане на съответния определен срок, проектното предложение може да бъде отхвърлено само и единствено на това основание</w:t>
      </w:r>
      <w:r w:rsidR="002D0080" w:rsidRPr="00B01DE8">
        <w:rPr>
          <w:rFonts w:eastAsia="Times New Roman" w:cstheme="minorHAnsi"/>
          <w:snapToGrid w:val="0"/>
          <w:sz w:val="24"/>
          <w:szCs w:val="24"/>
        </w:rPr>
        <w:t xml:space="preserve"> или съответно</w:t>
      </w:r>
      <w:r w:rsidR="002D0080" w:rsidRPr="00BD3276">
        <w:rPr>
          <w:rFonts w:eastAsia="Times New Roman" w:cstheme="minorHAnsi"/>
          <w:snapToGrid w:val="0"/>
          <w:sz w:val="24"/>
          <w:szCs w:val="24"/>
        </w:rPr>
        <w:t xml:space="preserve"> да получи по-малък брой точки.</w:t>
      </w:r>
    </w:p>
    <w:p w:rsidR="00FC3D12" w:rsidRPr="00BD3276" w:rsidRDefault="00FC3D12" w:rsidP="00FC3D1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D3276">
        <w:rPr>
          <w:rFonts w:eastAsia="Times New Roman" w:cstheme="minorHAnsi"/>
          <w:snapToGrid w:val="0"/>
          <w:sz w:val="24"/>
          <w:szCs w:val="24"/>
        </w:rPr>
        <w:t>Оценителната комисия може по всяко време да проверява декларираните от кандидатите данни, както и да изисква разяснения относно документите</w:t>
      </w:r>
      <w:r w:rsidR="00E1580F" w:rsidRPr="00BD3276">
        <w:rPr>
          <w:rFonts w:eastAsia="Times New Roman" w:cstheme="minorHAnsi"/>
          <w:snapToGrid w:val="0"/>
          <w:sz w:val="24"/>
          <w:szCs w:val="24"/>
        </w:rPr>
        <w:t>, представени съгласно т. 23</w:t>
      </w:r>
      <w:r w:rsidRPr="00BD3276">
        <w:rPr>
          <w:rFonts w:eastAsia="Times New Roman" w:cstheme="minorHAnsi"/>
          <w:snapToGrid w:val="0"/>
          <w:sz w:val="24"/>
          <w:szCs w:val="24"/>
        </w:rPr>
        <w:t xml:space="preserve"> от Насоките за кандидатстване.</w:t>
      </w:r>
    </w:p>
    <w:p w:rsidR="00FC3D12" w:rsidRPr="00BD3276" w:rsidRDefault="00FC3D12" w:rsidP="00FC3D1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D3276">
        <w:rPr>
          <w:rFonts w:eastAsia="Times New Roman" w:cstheme="minorHAnsi"/>
          <w:snapToGrid w:val="0"/>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w:t>
      </w:r>
    </w:p>
    <w:p w:rsidR="008D6775" w:rsidRPr="00BD3276" w:rsidRDefault="00FF6666" w:rsidP="006870DA">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D3276">
        <w:rPr>
          <w:rFonts w:eastAsia="Times New Roman" w:cstheme="minorHAnsi"/>
          <w:snapToGrid w:val="0"/>
          <w:sz w:val="24"/>
          <w:szCs w:val="24"/>
        </w:rPr>
        <w:t xml:space="preserve">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BD3276">
        <w:rPr>
          <w:rFonts w:eastAsia="Times New Roman" w:cstheme="minorHAnsi"/>
          <w:snapToGrid w:val="0"/>
          <w:sz w:val="24"/>
          <w:szCs w:val="24"/>
        </w:rPr>
        <w:t>правноорганизационната</w:t>
      </w:r>
      <w:proofErr w:type="spellEnd"/>
      <w:r w:rsidRPr="00BD3276">
        <w:rPr>
          <w:rFonts w:eastAsia="Times New Roman" w:cstheme="minorHAnsi"/>
          <w:snapToGrid w:val="0"/>
          <w:sz w:val="24"/>
          <w:szCs w:val="24"/>
        </w:rPr>
        <w:t xml:space="preserve"> форма, лицето, представляващо дружеството и други подобни обстоятелства), която не вод</w:t>
      </w:r>
      <w:r w:rsidR="00CF56B8">
        <w:rPr>
          <w:rFonts w:eastAsia="Times New Roman" w:cstheme="minorHAnsi"/>
          <w:snapToGrid w:val="0"/>
          <w:sz w:val="24"/>
          <w:szCs w:val="24"/>
        </w:rPr>
        <w:t>и</w:t>
      </w:r>
      <w:r w:rsidRPr="00BD3276">
        <w:rPr>
          <w:rFonts w:eastAsia="Times New Roman" w:cstheme="minorHAnsi"/>
          <w:snapToGrid w:val="0"/>
          <w:sz w:val="24"/>
          <w:szCs w:val="24"/>
        </w:rPr>
        <w:t xml:space="preserve"> до подобряване на първоначалното проектно предложение и се предоставя писмено в УО. </w:t>
      </w:r>
    </w:p>
    <w:p w:rsidR="00B36392" w:rsidRPr="00BD3276" w:rsidRDefault="00FF6666" w:rsidP="00FC3D1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snapToGrid w:val="0"/>
          <w:sz w:val="24"/>
          <w:szCs w:val="24"/>
        </w:rPr>
      </w:pPr>
      <w:r w:rsidRPr="00BD3276">
        <w:rPr>
          <w:rFonts w:eastAsia="Times New Roman" w:cstheme="minorHAnsi"/>
          <w:snapToGrid w:val="0"/>
          <w:sz w:val="24"/>
          <w:szCs w:val="24"/>
        </w:rPr>
        <w:lastRenderedPageBreak/>
        <w:t>Техническият процес</w:t>
      </w:r>
      <w:r w:rsidR="00551117">
        <w:rPr>
          <w:rFonts w:eastAsia="Times New Roman" w:cstheme="minorHAnsi"/>
          <w:snapToGrid w:val="0"/>
          <w:sz w:val="24"/>
          <w:szCs w:val="24"/>
        </w:rPr>
        <w:t>,</w:t>
      </w:r>
      <w:r w:rsidRPr="00BD3276">
        <w:rPr>
          <w:rFonts w:eastAsia="Times New Roman" w:cstheme="minorHAnsi"/>
          <w:snapToGrid w:val="0"/>
          <w:sz w:val="24"/>
          <w:szCs w:val="24"/>
        </w:rPr>
        <w:t xml:space="preserve"> свързан с представянето на допълнителна информация/документи</w:t>
      </w:r>
      <w:r w:rsidR="00551117">
        <w:rPr>
          <w:rFonts w:eastAsia="Times New Roman" w:cstheme="minorHAnsi"/>
          <w:snapToGrid w:val="0"/>
          <w:sz w:val="24"/>
          <w:szCs w:val="24"/>
        </w:rPr>
        <w:t>,</w:t>
      </w:r>
      <w:r w:rsidRPr="00BD3276">
        <w:rPr>
          <w:rFonts w:eastAsia="Times New Roman" w:cstheme="minorHAnsi"/>
          <w:snapToGrid w:val="0"/>
          <w:sz w:val="24"/>
          <w:szCs w:val="24"/>
        </w:rPr>
        <w:t xml:space="preserve"> е описан в </w:t>
      </w:r>
      <w:r w:rsidR="00B36392" w:rsidRPr="00BD3276">
        <w:rPr>
          <w:rFonts w:eastAsia="Times New Roman" w:cstheme="minorHAnsi"/>
          <w:snapToGrid w:val="0"/>
          <w:sz w:val="24"/>
          <w:szCs w:val="24"/>
        </w:rPr>
        <w:t xml:space="preserve">Ръководството за потребителя за модул “Е-кандидатстване” в ИСУН 2020. </w:t>
      </w:r>
    </w:p>
    <w:p w:rsidR="00686565" w:rsidRPr="00BD3276" w:rsidRDefault="00310D69" w:rsidP="00B36392">
      <w:pPr>
        <w:pBdr>
          <w:top w:val="single" w:sz="4" w:space="1" w:color="auto"/>
          <w:left w:val="single" w:sz="4" w:space="4" w:color="auto"/>
          <w:bottom w:val="single" w:sz="4" w:space="1" w:color="auto"/>
          <w:right w:val="single" w:sz="4" w:space="4" w:color="auto"/>
        </w:pBdr>
        <w:tabs>
          <w:tab w:val="right" w:pos="9720"/>
        </w:tabs>
        <w:spacing w:before="240" w:after="240" w:line="320" w:lineRule="atLeast"/>
        <w:jc w:val="both"/>
        <w:rPr>
          <w:rFonts w:eastAsia="Times New Roman" w:cstheme="minorHAnsi"/>
          <w:b/>
          <w:snapToGrid w:val="0"/>
          <w:sz w:val="24"/>
          <w:szCs w:val="24"/>
        </w:rPr>
      </w:pPr>
      <w:r w:rsidRPr="00BD3276">
        <w:rPr>
          <w:rFonts w:eastAsia="Times New Roman" w:cstheme="minorHAnsi"/>
          <w:b/>
          <w:snapToGrid w:val="0"/>
          <w:sz w:val="24"/>
          <w:szCs w:val="24"/>
        </w:rPr>
        <w:t>ВАЖНО: При деклариране на неверни данни от страна на кандидатите ще бъдат уведомявани органите на прокуратурата.</w:t>
      </w:r>
    </w:p>
    <w:p w:rsidR="002D4B6A" w:rsidRPr="00BD3276" w:rsidRDefault="00CB14EE" w:rsidP="003659D3">
      <w:pPr>
        <w:pStyle w:val="Heading2"/>
        <w:spacing w:before="120" w:after="120"/>
      </w:pPr>
      <w:bookmarkStart w:id="34" w:name="_Toc418791465"/>
      <w:r w:rsidRPr="00BD3276">
        <w:t>24</w:t>
      </w:r>
      <w:r w:rsidR="002D4B6A" w:rsidRPr="00BD3276">
        <w:t xml:space="preserve">. </w:t>
      </w:r>
      <w:r w:rsidR="0063166B" w:rsidRPr="00BD3276">
        <w:t>Краен срок за подаване на проектните предложения</w:t>
      </w:r>
      <w:r w:rsidR="0063166B" w:rsidRPr="00BD3276">
        <w:rPr>
          <w:rStyle w:val="FootnoteReference"/>
          <w:b w:val="0"/>
          <w:sz w:val="24"/>
          <w:szCs w:val="24"/>
        </w:rPr>
        <w:footnoteReference w:id="39"/>
      </w:r>
      <w:r w:rsidR="0063166B" w:rsidRPr="00BD3276">
        <w:t>:</w:t>
      </w:r>
      <w:bookmarkEnd w:id="34"/>
      <w:r w:rsidR="0063166B" w:rsidRPr="00BD3276" w:rsidDel="0063166B">
        <w:t xml:space="preserve"> </w:t>
      </w:r>
    </w:p>
    <w:p w:rsidR="00293BD5" w:rsidRPr="00BD3276" w:rsidRDefault="00293BD5" w:rsidP="00293BD5">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sz w:val="10"/>
          <w:szCs w:val="10"/>
        </w:rPr>
      </w:pPr>
    </w:p>
    <w:p w:rsidR="00535263" w:rsidRDefault="00535263" w:rsidP="00293BD5">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sz w:val="24"/>
          <w:szCs w:val="24"/>
        </w:rPr>
      </w:pPr>
      <w:r w:rsidRPr="00535263">
        <w:rPr>
          <w:sz w:val="24"/>
          <w:szCs w:val="24"/>
        </w:rPr>
        <w:t xml:space="preserve">Ще се прилага процедура на подбор на проекти </w:t>
      </w:r>
      <w:r w:rsidRPr="004D63C1">
        <w:rPr>
          <w:b/>
          <w:sz w:val="24"/>
          <w:szCs w:val="24"/>
        </w:rPr>
        <w:t>с един  краен срок за кандидатстване</w:t>
      </w:r>
      <w:r w:rsidRPr="00535263">
        <w:rPr>
          <w:sz w:val="24"/>
          <w:szCs w:val="24"/>
        </w:rPr>
        <w:t>.</w:t>
      </w:r>
    </w:p>
    <w:p w:rsidR="00E32474" w:rsidRPr="00BD3276" w:rsidRDefault="004D63C1" w:rsidP="00735A0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01DE8">
        <w:rPr>
          <w:b/>
          <w:sz w:val="24"/>
          <w:szCs w:val="24"/>
        </w:rPr>
        <w:t>Крайният срок за подаване на проектни предложения е ХХ.</w:t>
      </w:r>
      <w:proofErr w:type="spellStart"/>
      <w:r w:rsidRPr="00B01DE8">
        <w:rPr>
          <w:b/>
          <w:sz w:val="24"/>
          <w:szCs w:val="24"/>
        </w:rPr>
        <w:t>ХХ</w:t>
      </w:r>
      <w:proofErr w:type="spellEnd"/>
      <w:r w:rsidRPr="00B01DE8">
        <w:rPr>
          <w:b/>
          <w:sz w:val="24"/>
          <w:szCs w:val="24"/>
        </w:rPr>
        <w:t>.201</w:t>
      </w:r>
      <w:r w:rsidR="007F6594" w:rsidRPr="00B01DE8">
        <w:rPr>
          <w:b/>
          <w:sz w:val="24"/>
          <w:szCs w:val="24"/>
        </w:rPr>
        <w:t>6</w:t>
      </w:r>
      <w:r w:rsidRPr="00B01DE8">
        <w:rPr>
          <w:b/>
          <w:sz w:val="24"/>
          <w:szCs w:val="24"/>
        </w:rPr>
        <w:t xml:space="preserve"> г. (60 дни след обявяване на процедурата).</w:t>
      </w:r>
    </w:p>
    <w:p w:rsidR="001E3081" w:rsidRPr="00BD3276" w:rsidRDefault="001E3081" w:rsidP="001E3081">
      <w:pPr>
        <w:pStyle w:val="ListParagraph"/>
        <w:pBdr>
          <w:top w:val="single" w:sz="4" w:space="1" w:color="auto"/>
          <w:left w:val="single" w:sz="4" w:space="4" w:color="auto"/>
          <w:bottom w:val="single" w:sz="4" w:space="1" w:color="auto"/>
          <w:right w:val="single" w:sz="4" w:space="4" w:color="auto"/>
        </w:pBdr>
        <w:spacing w:after="120"/>
        <w:ind w:left="0"/>
        <w:jc w:val="both"/>
        <w:rPr>
          <w:b/>
          <w:sz w:val="24"/>
          <w:szCs w:val="24"/>
          <w:u w:val="single"/>
        </w:rPr>
      </w:pPr>
      <w:r w:rsidRPr="00BD3276">
        <w:rPr>
          <w:b/>
          <w:sz w:val="24"/>
          <w:szCs w:val="24"/>
          <w:u w:val="single"/>
        </w:rPr>
        <w:t xml:space="preserve">ВАЖНО: </w:t>
      </w:r>
      <w:r w:rsidRPr="00BD3276">
        <w:rPr>
          <w:sz w:val="24"/>
          <w:szCs w:val="24"/>
        </w:rPr>
        <w:t>В рамките на настоящата процедура кандидатите могат да подадат само едно проектно предложение</w:t>
      </w:r>
      <w:r w:rsidRPr="00BD3276">
        <w:rPr>
          <w:rStyle w:val="FootnoteReference"/>
          <w:sz w:val="24"/>
          <w:szCs w:val="24"/>
        </w:rPr>
        <w:footnoteReference w:id="40"/>
      </w:r>
      <w:r w:rsidRPr="00BD3276">
        <w:rPr>
          <w:sz w:val="24"/>
          <w:szCs w:val="24"/>
        </w:rPr>
        <w:t xml:space="preserve"> при съобразяване на изискванията </w:t>
      </w:r>
      <w:r w:rsidRPr="00AF7F6E">
        <w:rPr>
          <w:sz w:val="24"/>
          <w:szCs w:val="24"/>
        </w:rPr>
        <w:t>по т. 9 от</w:t>
      </w:r>
      <w:r w:rsidRPr="00BD3276">
        <w:rPr>
          <w:sz w:val="24"/>
          <w:szCs w:val="24"/>
        </w:rPr>
        <w:t xml:space="preserve"> настоящите Насоки за кандидатстване. </w:t>
      </w:r>
      <w:r w:rsidR="0010026E" w:rsidRPr="00BD3276">
        <w:rPr>
          <w:sz w:val="24"/>
          <w:szCs w:val="24"/>
        </w:rPr>
        <w:t xml:space="preserve">В рамките на настоящата процедура проектно предложение може да подаде само едно предприятие от няколко свързани предприятия, осъществяващи сходна дейност. </w:t>
      </w:r>
      <w:r w:rsidR="00EF6F6E" w:rsidRPr="00BD3276">
        <w:rPr>
          <w:sz w:val="24"/>
          <w:szCs w:val="24"/>
        </w:rPr>
        <w:t xml:space="preserve">Под свързани предприятия се разбират предприятията по чл. 4, ал. 4-8 от Закона за малките и средните предприятия. </w:t>
      </w:r>
      <w:r w:rsidRPr="00BD3276">
        <w:rPr>
          <w:sz w:val="24"/>
          <w:szCs w:val="24"/>
        </w:rPr>
        <w:t>Под сходна дейност следва да се разбира дейност, попадаща в същия клас (</w:t>
      </w:r>
      <w:proofErr w:type="spellStart"/>
      <w:r w:rsidRPr="00F25D45">
        <w:rPr>
          <w:sz w:val="24"/>
          <w:szCs w:val="24"/>
        </w:rPr>
        <w:t>четирицифрен</w:t>
      </w:r>
      <w:proofErr w:type="spellEnd"/>
      <w:r w:rsidRPr="00F25D45">
        <w:rPr>
          <w:sz w:val="24"/>
          <w:szCs w:val="24"/>
        </w:rPr>
        <w:t xml:space="preserve"> код) съгласно Класификация на икономическите дейности - КИД-2008 (Приложение </w:t>
      </w:r>
      <w:r w:rsidR="00F25D45" w:rsidRPr="00F25D45">
        <w:rPr>
          <w:sz w:val="24"/>
          <w:szCs w:val="24"/>
        </w:rPr>
        <w:t>У</w:t>
      </w:r>
      <w:r w:rsidRPr="00F25D45">
        <w:rPr>
          <w:sz w:val="24"/>
          <w:szCs w:val="24"/>
        </w:rPr>
        <w:t>).</w:t>
      </w:r>
    </w:p>
    <w:p w:rsidR="002A2CED" w:rsidRPr="00BD3276" w:rsidRDefault="002A2CED"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b/>
          <w:sz w:val="10"/>
          <w:szCs w:val="10"/>
          <w:u w:val="single"/>
          <w:lang w:val="en-US"/>
        </w:rPr>
      </w:pPr>
    </w:p>
    <w:p w:rsidR="001439F1" w:rsidRPr="00BD3276" w:rsidRDefault="001439F1"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Кандидатите могат да задават </w:t>
      </w:r>
      <w:r w:rsidR="000D1C30" w:rsidRPr="00BD3276">
        <w:rPr>
          <w:sz w:val="24"/>
          <w:szCs w:val="24"/>
        </w:rPr>
        <w:t xml:space="preserve">допълнителни </w:t>
      </w:r>
      <w:r w:rsidRPr="00BD3276">
        <w:rPr>
          <w:sz w:val="24"/>
          <w:szCs w:val="24"/>
        </w:rPr>
        <w:t xml:space="preserve">въпроси и </w:t>
      </w:r>
      <w:r w:rsidR="00735A00" w:rsidRPr="00BD3276">
        <w:rPr>
          <w:sz w:val="24"/>
          <w:szCs w:val="24"/>
        </w:rPr>
        <w:t>да</w:t>
      </w:r>
      <w:r w:rsidRPr="00BD3276">
        <w:rPr>
          <w:sz w:val="24"/>
          <w:szCs w:val="24"/>
        </w:rPr>
        <w:t xml:space="preserve"> искат разяснения във връзка с Н</w:t>
      </w:r>
      <w:r w:rsidR="00735A00" w:rsidRPr="00BD3276">
        <w:rPr>
          <w:sz w:val="24"/>
          <w:szCs w:val="24"/>
        </w:rPr>
        <w:t xml:space="preserve">асоките за кандидатстване до 21 дни преди крайния срок за подаване на проектни предложения. </w:t>
      </w:r>
      <w:r w:rsidR="000D1C30" w:rsidRPr="00BD3276">
        <w:rPr>
          <w:sz w:val="24"/>
          <w:szCs w:val="24"/>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5E05AF" w:rsidRPr="00B01DE8" w:rsidRDefault="005E05AF"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Адрес на електронна поща</w:t>
      </w:r>
      <w:r w:rsidRPr="00B01DE8">
        <w:rPr>
          <w:sz w:val="24"/>
          <w:szCs w:val="24"/>
        </w:rPr>
        <w:t xml:space="preserve">: </w:t>
      </w:r>
      <w:r w:rsidR="0064757A">
        <w:rPr>
          <w:sz w:val="24"/>
          <w:szCs w:val="24"/>
        </w:rPr>
        <w:t>………………………</w:t>
      </w:r>
      <w:r w:rsidR="00B37473" w:rsidRPr="00B01DE8">
        <w:rPr>
          <w:b/>
          <w:sz w:val="24"/>
          <w:szCs w:val="24"/>
          <w:lang w:val="en-US"/>
        </w:rPr>
        <w:t>@mi.government.bg.</w:t>
      </w:r>
    </w:p>
    <w:p w:rsidR="00C968BC" w:rsidRPr="00BD3276" w:rsidRDefault="00C968BC"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01DE8">
        <w:rPr>
          <w:sz w:val="24"/>
          <w:szCs w:val="24"/>
        </w:rPr>
        <w:t xml:space="preserve">Отговорите на въпросите на кандидатите </w:t>
      </w:r>
      <w:r w:rsidR="00AB0504" w:rsidRPr="00B01DE8">
        <w:rPr>
          <w:sz w:val="24"/>
          <w:szCs w:val="24"/>
        </w:rPr>
        <w:t>се публикуват</w:t>
      </w:r>
      <w:r w:rsidRPr="00B01DE8">
        <w:rPr>
          <w:sz w:val="24"/>
          <w:szCs w:val="24"/>
        </w:rPr>
        <w:t xml:space="preserve"> на интернет страницата на Управляващия орган - </w:t>
      </w:r>
      <w:proofErr w:type="spellStart"/>
      <w:r w:rsidRPr="00B01DE8">
        <w:rPr>
          <w:sz w:val="24"/>
          <w:szCs w:val="24"/>
        </w:rPr>
        <w:t>www</w:t>
      </w:r>
      <w:proofErr w:type="spellEnd"/>
      <w:r w:rsidRPr="00B01DE8">
        <w:rPr>
          <w:sz w:val="24"/>
          <w:szCs w:val="24"/>
        </w:rPr>
        <w:t>.</w:t>
      </w:r>
      <w:proofErr w:type="spellStart"/>
      <w:r w:rsidR="00C7222A" w:rsidRPr="00B01DE8">
        <w:rPr>
          <w:sz w:val="24"/>
          <w:szCs w:val="24"/>
        </w:rPr>
        <w:t>opcompetitiveness</w:t>
      </w:r>
      <w:proofErr w:type="spellEnd"/>
      <w:r w:rsidR="00C7222A" w:rsidRPr="00B01DE8">
        <w:rPr>
          <w:sz w:val="24"/>
          <w:szCs w:val="24"/>
        </w:rPr>
        <w:t>.</w:t>
      </w:r>
      <w:proofErr w:type="spellStart"/>
      <w:r w:rsidR="00C7222A" w:rsidRPr="00B01DE8">
        <w:rPr>
          <w:sz w:val="24"/>
          <w:szCs w:val="24"/>
        </w:rPr>
        <w:t>bg</w:t>
      </w:r>
      <w:proofErr w:type="spellEnd"/>
      <w:r w:rsidR="005F087D" w:rsidRPr="00B01DE8">
        <w:rPr>
          <w:sz w:val="24"/>
          <w:szCs w:val="24"/>
        </w:rPr>
        <w:t>,</w:t>
      </w:r>
      <w:r w:rsidR="00DB09F6" w:rsidRPr="00B01DE8">
        <w:rPr>
          <w:sz w:val="24"/>
          <w:szCs w:val="24"/>
        </w:rPr>
        <w:t xml:space="preserve"> </w:t>
      </w:r>
      <w:r w:rsidR="00AB0504" w:rsidRPr="00B01DE8">
        <w:rPr>
          <w:sz w:val="24"/>
          <w:szCs w:val="24"/>
        </w:rPr>
        <w:t>на</w:t>
      </w:r>
      <w:r w:rsidR="00AB0504" w:rsidRPr="00B01DE8">
        <w:t xml:space="preserve"> </w:t>
      </w:r>
      <w:r w:rsidR="00AB0504" w:rsidRPr="00B01DE8">
        <w:rPr>
          <w:sz w:val="24"/>
          <w:szCs w:val="24"/>
        </w:rPr>
        <w:t xml:space="preserve">Единния информационен портал за обща информация за управлението на Европейските структурни и инвестиционни фондове – </w:t>
      </w:r>
      <w:hyperlink r:id="rId10" w:history="1">
        <w:r w:rsidR="005F087D" w:rsidRPr="00B01DE8">
          <w:rPr>
            <w:rStyle w:val="Hyperlink"/>
            <w:sz w:val="24"/>
            <w:szCs w:val="24"/>
          </w:rPr>
          <w:t>www.eufunds.bg</w:t>
        </w:r>
      </w:hyperlink>
      <w:r w:rsidR="005F087D" w:rsidRPr="00B01DE8">
        <w:rPr>
          <w:sz w:val="24"/>
          <w:szCs w:val="24"/>
        </w:rPr>
        <w:t>, както</w:t>
      </w:r>
      <w:r w:rsidR="00C660F2" w:rsidRPr="00B01DE8">
        <w:rPr>
          <w:sz w:val="24"/>
          <w:szCs w:val="24"/>
        </w:rPr>
        <w:t xml:space="preserve"> и в ИСУН</w:t>
      </w:r>
      <w:r w:rsidR="00C660F2">
        <w:rPr>
          <w:sz w:val="24"/>
          <w:szCs w:val="24"/>
        </w:rPr>
        <w:t xml:space="preserve"> 2020</w:t>
      </w:r>
      <w:r w:rsidR="00AB0504" w:rsidRPr="00BD3276">
        <w:rPr>
          <w:sz w:val="24"/>
          <w:szCs w:val="24"/>
        </w:rPr>
        <w:t xml:space="preserve"> </w:t>
      </w:r>
      <w:r w:rsidR="00C7222A" w:rsidRPr="00BD3276">
        <w:rPr>
          <w:sz w:val="24"/>
          <w:szCs w:val="24"/>
        </w:rPr>
        <w:t>в срок до 7</w:t>
      </w:r>
      <w:r w:rsidRPr="00BD3276">
        <w:rPr>
          <w:sz w:val="24"/>
          <w:szCs w:val="24"/>
        </w:rPr>
        <w:t xml:space="preserve"> работни дни, считано от датата на тяхното получаване, но не по-късно от 11 календарни дни преди определения краен срок за </w:t>
      </w:r>
      <w:r w:rsidR="00C7222A" w:rsidRPr="00BD3276">
        <w:rPr>
          <w:sz w:val="24"/>
          <w:szCs w:val="24"/>
        </w:rPr>
        <w:t>подаване</w:t>
      </w:r>
      <w:r w:rsidRPr="00BD3276">
        <w:rPr>
          <w:sz w:val="24"/>
          <w:szCs w:val="24"/>
        </w:rPr>
        <w:t xml:space="preserve"> на проектни предложения по процедурата.  </w:t>
      </w:r>
    </w:p>
    <w:p w:rsidR="00113282" w:rsidRPr="00BD3276" w:rsidRDefault="00113282" w:rsidP="001132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color w:val="FF0000"/>
          <w:sz w:val="24"/>
          <w:szCs w:val="24"/>
        </w:rPr>
      </w:pPr>
      <w:r w:rsidRPr="00BD3276">
        <w:rPr>
          <w:sz w:val="24"/>
          <w:szCs w:val="24"/>
        </w:rPr>
        <w:t>Публикуваните отговори на въпроси задължително се вземат под внимание от страна на</w:t>
      </w:r>
      <w:r w:rsidR="00505823" w:rsidRPr="00BD3276">
        <w:rPr>
          <w:sz w:val="24"/>
          <w:szCs w:val="24"/>
        </w:rPr>
        <w:t xml:space="preserve"> Управляващия орган,</w:t>
      </w:r>
      <w:r w:rsidRPr="00BD3276">
        <w:rPr>
          <w:sz w:val="24"/>
          <w:szCs w:val="24"/>
        </w:rPr>
        <w:t xml:space="preserve"> Оценителната комисия по процедурата при оценката на проектните предложения и от </w:t>
      </w:r>
      <w:r w:rsidR="00505823" w:rsidRPr="00BD3276">
        <w:rPr>
          <w:sz w:val="24"/>
          <w:szCs w:val="24"/>
        </w:rPr>
        <w:t>кандидатите по процедурата</w:t>
      </w:r>
      <w:r w:rsidRPr="00BD3276">
        <w:rPr>
          <w:sz w:val="24"/>
          <w:szCs w:val="24"/>
        </w:rPr>
        <w:t>.</w:t>
      </w:r>
      <w:r w:rsidR="00885478" w:rsidRPr="00BD3276">
        <w:rPr>
          <w:sz w:val="24"/>
          <w:szCs w:val="24"/>
        </w:rPr>
        <w:t xml:space="preserve"> </w:t>
      </w:r>
    </w:p>
    <w:p w:rsidR="00A02B5F" w:rsidRPr="00BD3276" w:rsidRDefault="00A02B5F" w:rsidP="0011328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13282" w:rsidRPr="00BD3276" w:rsidRDefault="00113282" w:rsidP="00735A00">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lastRenderedPageBreak/>
        <w:t xml:space="preserve">Не могат да се дават </w:t>
      </w:r>
      <w:r w:rsidR="007D70EE" w:rsidRPr="00BD3276">
        <w:rPr>
          <w:sz w:val="24"/>
          <w:szCs w:val="24"/>
        </w:rPr>
        <w:t>разяснения</w:t>
      </w:r>
      <w:r w:rsidRPr="00BD3276">
        <w:rPr>
          <w:sz w:val="24"/>
          <w:szCs w:val="24"/>
        </w:rPr>
        <w:t xml:space="preserve">, които съдържат становище относно </w:t>
      </w:r>
      <w:r w:rsidR="007D70EE" w:rsidRPr="00BD3276">
        <w:rPr>
          <w:sz w:val="24"/>
          <w:szCs w:val="24"/>
        </w:rPr>
        <w:t>качеството на конкретно проектно предложение</w:t>
      </w:r>
      <w:r w:rsidRPr="00BD3276">
        <w:rPr>
          <w:sz w:val="24"/>
          <w:szCs w:val="24"/>
        </w:rPr>
        <w:t>.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63166B" w:rsidRPr="00BD3276" w:rsidRDefault="0063166B">
      <w:pPr>
        <w:pStyle w:val="ListParagraph"/>
        <w:spacing w:after="360" w:line="240" w:lineRule="auto"/>
        <w:ind w:left="0"/>
        <w:jc w:val="both"/>
        <w:rPr>
          <w:b/>
          <w:sz w:val="24"/>
          <w:szCs w:val="24"/>
        </w:rPr>
      </w:pPr>
    </w:p>
    <w:p w:rsidR="008B486B" w:rsidRPr="00BD3276" w:rsidRDefault="002C08E5" w:rsidP="003659D3">
      <w:pPr>
        <w:pStyle w:val="Heading2"/>
      </w:pPr>
      <w:bookmarkStart w:id="35" w:name="_Toc418791466"/>
      <w:r w:rsidRPr="00BD3276">
        <w:t>2</w:t>
      </w:r>
      <w:r w:rsidR="00CB14EE" w:rsidRPr="00BD3276">
        <w:t>5</w:t>
      </w:r>
      <w:r w:rsidR="002D4B6A" w:rsidRPr="00BD3276">
        <w:t xml:space="preserve">. </w:t>
      </w:r>
      <w:r w:rsidR="0063166B" w:rsidRPr="00BD3276">
        <w:t>Адрес за подаване на проектните предложения</w:t>
      </w:r>
      <w:bookmarkEnd w:id="35"/>
    </w:p>
    <w:p w:rsidR="003429B7" w:rsidRPr="00BD3276" w:rsidRDefault="00763228" w:rsidP="005F0BC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7184D">
        <w:rPr>
          <w:sz w:val="24"/>
          <w:szCs w:val="24"/>
        </w:rPr>
        <w:t>Проектните предложения по настоящата процедура се подават</w:t>
      </w:r>
      <w:r w:rsidR="0072354F">
        <w:rPr>
          <w:sz w:val="24"/>
          <w:szCs w:val="24"/>
        </w:rPr>
        <w:t xml:space="preserve"> по изцяло електронен път чрез</w:t>
      </w:r>
      <w:r w:rsidR="006E412D">
        <w:rPr>
          <w:sz w:val="24"/>
          <w:szCs w:val="24"/>
        </w:rPr>
        <w:t xml:space="preserve"> ИСУН 2020</w:t>
      </w:r>
      <w:r w:rsidR="0072354F">
        <w:rPr>
          <w:sz w:val="24"/>
          <w:szCs w:val="24"/>
        </w:rPr>
        <w:t xml:space="preserve"> </w:t>
      </w:r>
      <w:r w:rsidR="006E412D" w:rsidRPr="006E412D">
        <w:t xml:space="preserve"> </w:t>
      </w:r>
      <w:r w:rsidR="006E412D" w:rsidRPr="006E412D">
        <w:rPr>
          <w:sz w:val="24"/>
          <w:szCs w:val="24"/>
        </w:rPr>
        <w:t>на следния интернет адрес: https://eumis2020.government.bg.</w:t>
      </w:r>
      <w:r w:rsidR="003429B7" w:rsidRPr="00BD3276">
        <w:rPr>
          <w:b/>
          <w:sz w:val="24"/>
          <w:szCs w:val="24"/>
        </w:rPr>
        <w:t xml:space="preserve">   </w:t>
      </w:r>
    </w:p>
    <w:p w:rsidR="003429B7" w:rsidRPr="00BD3276" w:rsidRDefault="00CB14EE" w:rsidP="003659D3">
      <w:pPr>
        <w:pStyle w:val="Heading2"/>
      </w:pPr>
      <w:bookmarkStart w:id="36" w:name="_Toc418791467"/>
      <w:r w:rsidRPr="00BD3276">
        <w:t>26</w:t>
      </w:r>
      <w:r w:rsidR="003429B7" w:rsidRPr="00BD3276">
        <w:t>. Допълнителна информация:</w:t>
      </w:r>
      <w:bookmarkEnd w:id="36"/>
    </w:p>
    <w:p w:rsidR="00BA13AC" w:rsidRPr="00BD3276" w:rsidRDefault="00BA13AC" w:rsidP="003659D3">
      <w:pPr>
        <w:pStyle w:val="Heading3"/>
        <w:rPr>
          <w:sz w:val="24"/>
          <w:szCs w:val="24"/>
        </w:rPr>
      </w:pPr>
      <w:bookmarkStart w:id="37" w:name="_Toc418791468"/>
      <w:r w:rsidRPr="00BD3276">
        <w:rPr>
          <w:sz w:val="24"/>
          <w:szCs w:val="24"/>
        </w:rPr>
        <w:t>26.1. Процедура за уведомяване на неуспелите и одобрените кандидати и сключване на договори за безвъзмездна финансова помощ</w:t>
      </w:r>
      <w:bookmarkEnd w:id="37"/>
    </w:p>
    <w:p w:rsidR="00BA13AC" w:rsidRPr="00646EBC" w:rsidRDefault="00BA13AC"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Управляващият орган </w:t>
      </w:r>
      <w:r w:rsidRPr="00646EBC">
        <w:rPr>
          <w:sz w:val="24"/>
          <w:szCs w:val="24"/>
        </w:rPr>
        <w:t xml:space="preserve">уведомява </w:t>
      </w:r>
      <w:r w:rsidR="0014668C" w:rsidRPr="00646EBC">
        <w:rPr>
          <w:sz w:val="24"/>
          <w:szCs w:val="24"/>
        </w:rPr>
        <w:t>писмено</w:t>
      </w:r>
      <w:r w:rsidR="008B1F17" w:rsidRPr="00646EBC">
        <w:rPr>
          <w:sz w:val="24"/>
          <w:szCs w:val="24"/>
        </w:rPr>
        <w:t xml:space="preserve"> чрез ИСУН 2020</w:t>
      </w:r>
      <w:r w:rsidR="00017D3F" w:rsidRPr="00646EBC">
        <w:rPr>
          <w:sz w:val="24"/>
          <w:szCs w:val="24"/>
        </w:rPr>
        <w:t xml:space="preserve"> </w:t>
      </w:r>
      <w:r w:rsidRPr="00646EBC">
        <w:rPr>
          <w:sz w:val="24"/>
          <w:szCs w:val="24"/>
        </w:rPr>
        <w:t xml:space="preserve">всеки от кандидатите от списъците с отхвърлени проектни предложения и съответно с резервни проектни предложения в срок до 10 работни дни от издаване на решението за одобрение на доклада на оценителната комисия и предоставяне на безвъзмездна финансова помощ, като посочва основанията за класирането/отхвърлянето им. В срок до 10 работни дни от получаване на решението кандидатът може да поиска </w:t>
      </w:r>
      <w:r w:rsidR="00DF31F6" w:rsidRPr="00646EBC">
        <w:rPr>
          <w:sz w:val="24"/>
          <w:szCs w:val="24"/>
        </w:rPr>
        <w:t>писмено</w:t>
      </w:r>
      <w:r w:rsidR="00017D3F" w:rsidRPr="00646EBC">
        <w:rPr>
          <w:sz w:val="24"/>
          <w:szCs w:val="24"/>
        </w:rPr>
        <w:t xml:space="preserve"> </w:t>
      </w:r>
      <w:r w:rsidR="00EB1D61" w:rsidRPr="00646EBC">
        <w:rPr>
          <w:sz w:val="24"/>
          <w:szCs w:val="24"/>
        </w:rPr>
        <w:t>по електронен път</w:t>
      </w:r>
      <w:r w:rsidR="00AB7769" w:rsidRPr="00646EBC">
        <w:rPr>
          <w:sz w:val="24"/>
          <w:szCs w:val="24"/>
        </w:rPr>
        <w:t xml:space="preserve"> чрез ИСУН 2020</w:t>
      </w:r>
      <w:r w:rsidR="0093576E" w:rsidRPr="00646EBC">
        <w:rPr>
          <w:sz w:val="24"/>
          <w:szCs w:val="24"/>
        </w:rPr>
        <w:t xml:space="preserve"> </w:t>
      </w:r>
      <w:r w:rsidRPr="00646EBC">
        <w:rPr>
          <w:sz w:val="24"/>
          <w:szCs w:val="24"/>
        </w:rPr>
        <w:t xml:space="preserve">допълнителни разяснения относно основанията за класирането/отхвърлянето му. Искания за допълнителни разяснения, касаещи дадено проектно предложение по настоящата процедура, се подават </w:t>
      </w:r>
      <w:r w:rsidR="007F4002" w:rsidRPr="00646EBC">
        <w:rPr>
          <w:sz w:val="24"/>
          <w:szCs w:val="24"/>
        </w:rPr>
        <w:t>в писмена форма до Ръководителя на Управляващия орган</w:t>
      </w:r>
      <w:r w:rsidRPr="00646EBC">
        <w:rPr>
          <w:sz w:val="24"/>
          <w:szCs w:val="24"/>
        </w:rPr>
        <w:t>. Исканията се разглеждат като се извършва необходимата проверка и се изпраща</w:t>
      </w:r>
      <w:r w:rsidR="00DF31F6" w:rsidRPr="00646EBC">
        <w:rPr>
          <w:sz w:val="24"/>
          <w:szCs w:val="24"/>
        </w:rPr>
        <w:t xml:space="preserve"> писмен</w:t>
      </w:r>
      <w:r w:rsidRPr="00646EBC">
        <w:rPr>
          <w:sz w:val="24"/>
          <w:szCs w:val="24"/>
        </w:rPr>
        <w:t xml:space="preserve"> отговор до подателя, съдържащ конкретните основания довели до отхвърляне на съответното проектно предложение.</w:t>
      </w:r>
    </w:p>
    <w:p w:rsidR="00101D68" w:rsidRPr="00646EBC" w:rsidRDefault="00BA13AC"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646EBC">
        <w:rPr>
          <w:sz w:val="24"/>
          <w:szCs w:val="24"/>
        </w:rPr>
        <w:t xml:space="preserve">Съгласно чл. 25, ал. 1 от ПМС № 107/10.05.2014 г., Управляващият орган уведомява по електронен път </w:t>
      </w:r>
      <w:r w:rsidR="008A78C1" w:rsidRPr="00646EBC">
        <w:rPr>
          <w:sz w:val="24"/>
          <w:szCs w:val="24"/>
        </w:rPr>
        <w:t xml:space="preserve"> </w:t>
      </w:r>
      <w:r w:rsidR="00AB7769" w:rsidRPr="00646EBC">
        <w:rPr>
          <w:sz w:val="24"/>
          <w:szCs w:val="24"/>
        </w:rPr>
        <w:t>чрез ИСУН 2020</w:t>
      </w:r>
      <w:r w:rsidRPr="00646EBC">
        <w:rPr>
          <w:sz w:val="24"/>
          <w:szCs w:val="24"/>
        </w:rPr>
        <w:t xml:space="preserve"> всички </w:t>
      </w:r>
      <w:r w:rsidRPr="00646EBC">
        <w:rPr>
          <w:b/>
          <w:sz w:val="24"/>
          <w:szCs w:val="24"/>
        </w:rPr>
        <w:t>одобрени кандидати</w:t>
      </w:r>
      <w:r w:rsidRPr="00646EBC">
        <w:rPr>
          <w:sz w:val="24"/>
          <w:szCs w:val="24"/>
        </w:rPr>
        <w:t xml:space="preserve"> за решението си в срок до 10 работни дни от издаването му, като ги информира какви допълнителни документи и в какъв срок трябва да представят в съответствие с чл. 9, ал. 8, т. 2. от ПМС № 107/10.05.2014 г.</w:t>
      </w:r>
    </w:p>
    <w:p w:rsidR="00856916" w:rsidRPr="00646EBC" w:rsidRDefault="0085691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b/>
          <w:sz w:val="24"/>
          <w:szCs w:val="24"/>
        </w:rPr>
      </w:pPr>
    </w:p>
    <w:p w:rsidR="00BA13AC" w:rsidRPr="00BD3276" w:rsidRDefault="00101D68"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sz w:val="24"/>
          <w:szCs w:val="24"/>
        </w:rPr>
      </w:pPr>
      <w:r w:rsidRPr="00646EBC">
        <w:rPr>
          <w:b/>
          <w:sz w:val="24"/>
          <w:szCs w:val="24"/>
        </w:rPr>
        <w:t xml:space="preserve">А) </w:t>
      </w:r>
      <w:r w:rsidR="00FF596B" w:rsidRPr="00646EBC">
        <w:rPr>
          <w:sz w:val="24"/>
          <w:szCs w:val="24"/>
        </w:rPr>
        <w:t xml:space="preserve">Писменото </w:t>
      </w:r>
      <w:r w:rsidR="00FF596B" w:rsidRPr="00646EBC">
        <w:rPr>
          <w:iCs/>
          <w:sz w:val="24"/>
          <w:szCs w:val="24"/>
        </w:rPr>
        <w:t>у</w:t>
      </w:r>
      <w:r w:rsidR="00BA13AC" w:rsidRPr="00646EBC">
        <w:rPr>
          <w:iCs/>
          <w:sz w:val="24"/>
          <w:szCs w:val="24"/>
        </w:rPr>
        <w:t xml:space="preserve">ведомление </w:t>
      </w:r>
      <w:r w:rsidR="006444BD" w:rsidRPr="00646EBC">
        <w:rPr>
          <w:iCs/>
          <w:sz w:val="24"/>
          <w:szCs w:val="24"/>
        </w:rPr>
        <w:t xml:space="preserve">чрез ИСУН 2020 </w:t>
      </w:r>
      <w:r w:rsidR="00BA13AC" w:rsidRPr="00646EBC">
        <w:rPr>
          <w:iCs/>
          <w:sz w:val="24"/>
          <w:szCs w:val="24"/>
        </w:rPr>
        <w:t xml:space="preserve">до одобрените за финансиране кандидати, съдържа покана за сключване на договор </w:t>
      </w:r>
      <w:r w:rsidR="00BA13AC" w:rsidRPr="00646EBC">
        <w:rPr>
          <w:sz w:val="24"/>
          <w:szCs w:val="24"/>
        </w:rPr>
        <w:t>и изискване на следните документи: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а/</w:t>
      </w:r>
      <w:r w:rsidRPr="00BD3276">
        <w:rPr>
          <w:sz w:val="24"/>
          <w:szCs w:val="24"/>
        </w:rPr>
        <w:t xml:space="preserve"> Удостоверение от Националната агенция за приходите за липса на задължения на кандидата (издадено не по-рано от 6 месеца преди датата на представянето му) </w:t>
      </w:r>
      <w:r w:rsidR="00644BB7" w:rsidRPr="00BD3276">
        <w:rPr>
          <w:sz w:val="24"/>
          <w:szCs w:val="24"/>
        </w:rPr>
        <w:t>–</w:t>
      </w:r>
      <w:r w:rsidRPr="00BD3276">
        <w:rPr>
          <w:sz w:val="24"/>
          <w:szCs w:val="24"/>
        </w:rPr>
        <w:t xml:space="preserve"> </w:t>
      </w:r>
      <w:r w:rsidR="00325B3A" w:rsidRPr="00BD3276">
        <w:rPr>
          <w:sz w:val="24"/>
          <w:szCs w:val="24"/>
        </w:rPr>
        <w:t xml:space="preserve"> </w:t>
      </w:r>
      <w:r w:rsidR="006444BD">
        <w:rPr>
          <w:sz w:val="24"/>
          <w:szCs w:val="24"/>
        </w:rPr>
        <w:t>подписано с КЕП от лице с право да представлява кандидата</w:t>
      </w:r>
      <w:r w:rsidR="00B2186E">
        <w:rPr>
          <w:sz w:val="24"/>
          <w:szCs w:val="24"/>
        </w:rPr>
        <w:t xml:space="preserve"> </w:t>
      </w:r>
      <w:r w:rsidR="00924FC1">
        <w:rPr>
          <w:sz w:val="24"/>
          <w:szCs w:val="24"/>
        </w:rPr>
        <w:t>и прикачено в ИСУН 2020</w:t>
      </w:r>
      <w:r w:rsidRPr="00BD3276">
        <w:rPr>
          <w:sz w:val="24"/>
          <w:szCs w:val="24"/>
        </w:rPr>
        <w:t>;</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б/</w:t>
      </w:r>
      <w:r w:rsidRPr="00BD3276">
        <w:rPr>
          <w:sz w:val="24"/>
          <w:szCs w:val="24"/>
        </w:rPr>
        <w:t xml:space="preserve"> Свидетелство за съдимост на всички лица,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w:t>
      </w:r>
      <w:r w:rsidR="00325B3A" w:rsidRPr="00BD3276">
        <w:rPr>
          <w:sz w:val="24"/>
          <w:szCs w:val="24"/>
        </w:rPr>
        <w:t xml:space="preserve"> </w:t>
      </w:r>
      <w:r w:rsidR="00EF3F22">
        <w:rPr>
          <w:sz w:val="24"/>
          <w:szCs w:val="24"/>
        </w:rPr>
        <w:t>подписано с КЕП от лице с право да представлява кандидата</w:t>
      </w:r>
      <w:r w:rsidR="00CB2659">
        <w:rPr>
          <w:sz w:val="24"/>
          <w:szCs w:val="24"/>
        </w:rPr>
        <w:t xml:space="preserve"> и прикачено в ИСУН 2020</w:t>
      </w:r>
      <w:r w:rsidRPr="00BD3276">
        <w:rPr>
          <w:sz w:val="24"/>
          <w:szCs w:val="24"/>
        </w:rPr>
        <w:t xml:space="preserve">.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lastRenderedPageBreak/>
        <w:t>Когато за някое от горепосочените лица, свидетелството за съдимост подлежи на издаване от чуждестранен орган, същото се представя в легализиран превод</w:t>
      </w:r>
      <w:r w:rsidR="008A78C1" w:rsidRPr="00BD3276">
        <w:rPr>
          <w:sz w:val="24"/>
          <w:szCs w:val="24"/>
        </w:rPr>
        <w:t xml:space="preserve"> - </w:t>
      </w:r>
      <w:r w:rsidR="00EF3F22">
        <w:rPr>
          <w:sz w:val="24"/>
          <w:szCs w:val="24"/>
        </w:rPr>
        <w:t>подписано с КЕП от лице с право да представлява кандидата</w:t>
      </w:r>
      <w:r w:rsidRPr="00BD3276">
        <w:rPr>
          <w:sz w:val="24"/>
          <w:szCs w:val="24"/>
        </w:rPr>
        <w:t>.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w:t>
      </w:r>
      <w:r w:rsidR="00644BB7" w:rsidRPr="00BD3276">
        <w:rPr>
          <w:sz w:val="24"/>
          <w:szCs w:val="24"/>
        </w:rPr>
        <w:t xml:space="preserve">, </w:t>
      </w:r>
      <w:r w:rsidRPr="00BD3276">
        <w:rPr>
          <w:sz w:val="24"/>
          <w:szCs w:val="24"/>
        </w:rPr>
        <w:t>съгласно законодателството на държавата, в която е установено.</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в/</w:t>
      </w:r>
      <w:r w:rsidRPr="00BD3276">
        <w:rPr>
          <w:sz w:val="24"/>
          <w:szCs w:val="24"/>
        </w:rPr>
        <w:t xml:space="preserve"> Нотариално заверено пълномощно, в случаите, когато договорът за безвъзмездна финансова помощ ще бъде подписан от лице, различно от законния/</w:t>
      </w:r>
      <w:proofErr w:type="spellStart"/>
      <w:r w:rsidRPr="00BD3276">
        <w:rPr>
          <w:sz w:val="24"/>
          <w:szCs w:val="24"/>
        </w:rPr>
        <w:t>ите</w:t>
      </w:r>
      <w:proofErr w:type="spellEnd"/>
      <w:r w:rsidRPr="00BD3276">
        <w:rPr>
          <w:sz w:val="24"/>
          <w:szCs w:val="24"/>
        </w:rPr>
        <w:t xml:space="preserve"> представител/и на кандидата, съгласно Удостоверението за актуално състояние или вписванията в Търговския регистър – </w:t>
      </w:r>
      <w:r w:rsidR="00CB2659">
        <w:rPr>
          <w:sz w:val="24"/>
          <w:szCs w:val="24"/>
        </w:rPr>
        <w:t xml:space="preserve"> </w:t>
      </w:r>
      <w:r w:rsidR="005B51D9">
        <w:rPr>
          <w:sz w:val="24"/>
          <w:szCs w:val="24"/>
        </w:rPr>
        <w:t>подписано с КЕП от лице с право да представлява кандидата</w:t>
      </w:r>
      <w:r w:rsidR="00CB2659">
        <w:rPr>
          <w:sz w:val="24"/>
          <w:szCs w:val="24"/>
        </w:rPr>
        <w:t xml:space="preserve"> и прикачено в ИСУН 2020</w:t>
      </w:r>
      <w:r w:rsidRPr="00BD3276">
        <w:rPr>
          <w:sz w:val="24"/>
          <w:szCs w:val="24"/>
        </w:rPr>
        <w:t>.</w:t>
      </w:r>
      <w:r w:rsidR="005B51D9">
        <w:rPr>
          <w:sz w:val="24"/>
          <w:szCs w:val="24"/>
        </w:rPr>
        <w:t xml:space="preserve">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Посочените документи се представят от одобрените кандидати </w:t>
      </w:r>
      <w:r w:rsidR="000B0EEC" w:rsidRPr="00BD3276">
        <w:rPr>
          <w:sz w:val="24"/>
          <w:szCs w:val="24"/>
        </w:rPr>
        <w:t>пр</w:t>
      </w:r>
      <w:r w:rsidR="004953E6">
        <w:rPr>
          <w:sz w:val="24"/>
          <w:szCs w:val="24"/>
        </w:rPr>
        <w:t>еди</w:t>
      </w:r>
      <w:r w:rsidR="000B0EEC" w:rsidRPr="00BD3276">
        <w:rPr>
          <w:sz w:val="24"/>
          <w:szCs w:val="24"/>
        </w:rPr>
        <w:t xml:space="preserve"> сключване на договорите за предоставяне на безвъзмездна финансова помощ</w:t>
      </w:r>
      <w:r w:rsidRPr="00BD3276">
        <w:rPr>
          <w:sz w:val="24"/>
          <w:szCs w:val="24"/>
        </w:rPr>
        <w:t xml:space="preserve">, като преди представяне на договорите за подпис, ще се извършва проверка за съответствие на кандидатите с изискванията на чл. 9, ал. 1, ал. 2 и ал. 3 на ПМС № 107/10.05.2014 г. въз основа на представените документи.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Срокът за представяне на посочените документи не може да бъде по-кратък от 5 работни дни считано от датата на получаване на уведомлението.</w:t>
      </w:r>
    </w:p>
    <w:p w:rsidR="00E578BC" w:rsidRPr="00BD3276" w:rsidRDefault="00E578BC" w:rsidP="005100FE">
      <w:pPr>
        <w:pBdr>
          <w:top w:val="single" w:sz="4" w:space="1" w:color="auto"/>
          <w:left w:val="single" w:sz="4" w:space="4" w:color="auto"/>
          <w:bottom w:val="single" w:sz="4" w:space="1" w:color="auto"/>
          <w:right w:val="single" w:sz="4" w:space="4" w:color="auto"/>
        </w:pBdr>
        <w:spacing w:after="120" w:line="240" w:lineRule="auto"/>
        <w:jc w:val="both"/>
        <w:rPr>
          <w:b/>
          <w:sz w:val="24"/>
          <w:szCs w:val="24"/>
        </w:rPr>
      </w:pPr>
      <w:r w:rsidRPr="00BD3276">
        <w:rPr>
          <w:b/>
          <w:sz w:val="24"/>
          <w:szCs w:val="24"/>
        </w:rPr>
        <w:t>Предмет на проверката при сключване на договора ще бъде и обстоятелството дали кандидатът е регистриран по реда на Търговския закон или съответно Закона за кооперациите.</w:t>
      </w:r>
    </w:p>
    <w:p w:rsidR="00BA13AC" w:rsidRPr="00BD3276" w:rsidRDefault="00101D68"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 xml:space="preserve">Б) </w:t>
      </w:r>
      <w:r w:rsidR="00BA13AC" w:rsidRPr="00BD3276">
        <w:rPr>
          <w:sz w:val="24"/>
          <w:szCs w:val="24"/>
        </w:rPr>
        <w:t xml:space="preserve">За документална проверка на декларираната категория предприятие </w:t>
      </w:r>
      <w:r w:rsidR="00AE0D09" w:rsidRPr="00BD3276">
        <w:rPr>
          <w:sz w:val="24"/>
          <w:szCs w:val="24"/>
        </w:rPr>
        <w:t xml:space="preserve">при </w:t>
      </w:r>
      <w:r w:rsidR="00BA13AC" w:rsidRPr="00BD3276">
        <w:rPr>
          <w:sz w:val="24"/>
          <w:szCs w:val="24"/>
        </w:rPr>
        <w:t>сключване на договорите за предоставяне на безвъзмездна финансова помощ одобрените кандидати следва да представят</w:t>
      </w:r>
      <w:r w:rsidR="00A85508" w:rsidRPr="00BD3276">
        <w:rPr>
          <w:sz w:val="24"/>
          <w:szCs w:val="24"/>
        </w:rPr>
        <w:t xml:space="preserve"> </w:t>
      </w:r>
      <w:r w:rsidR="008E358A" w:rsidRPr="00BD3276">
        <w:rPr>
          <w:sz w:val="24"/>
          <w:szCs w:val="24"/>
        </w:rPr>
        <w:t xml:space="preserve">в горепосочения срок, указан от </w:t>
      </w:r>
      <w:r w:rsidR="003B38DF">
        <w:rPr>
          <w:sz w:val="24"/>
          <w:szCs w:val="24"/>
        </w:rPr>
        <w:t>У</w:t>
      </w:r>
      <w:r w:rsidR="008E358A" w:rsidRPr="00BD3276">
        <w:rPr>
          <w:sz w:val="24"/>
          <w:szCs w:val="24"/>
        </w:rPr>
        <w:t>правляващия орган</w:t>
      </w:r>
      <w:r w:rsidR="00BA13AC" w:rsidRPr="00BD3276">
        <w:rPr>
          <w:sz w:val="24"/>
          <w:szCs w:val="24"/>
        </w:rPr>
        <w:t xml:space="preserve"> 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г/</w:t>
      </w:r>
      <w:r w:rsidRPr="00BD3276">
        <w:rPr>
          <w:sz w:val="24"/>
          <w:szCs w:val="24"/>
        </w:rPr>
        <w:t xml:space="preserve"> Справка за обобщените параметри на предприятието, което подава Декларация за обстоятелствата по чл. 3 и чл. 4 на ЗМСП – Приложение Е1</w:t>
      </w:r>
      <w:r w:rsidR="00A96FAC">
        <w:rPr>
          <w:sz w:val="24"/>
          <w:szCs w:val="24"/>
        </w:rPr>
        <w:t xml:space="preserve">, </w:t>
      </w:r>
      <w:r w:rsidR="00AD4E46">
        <w:rPr>
          <w:sz w:val="24"/>
          <w:szCs w:val="24"/>
        </w:rPr>
        <w:t>подписана</w:t>
      </w:r>
      <w:r w:rsidR="007F699F">
        <w:rPr>
          <w:sz w:val="24"/>
          <w:szCs w:val="24"/>
        </w:rPr>
        <w:t xml:space="preserve"> с КЕП от лице с право да представлява кандидата и </w:t>
      </w:r>
      <w:r w:rsidR="00110C84">
        <w:rPr>
          <w:sz w:val="24"/>
          <w:szCs w:val="24"/>
        </w:rPr>
        <w:t>п</w:t>
      </w:r>
      <w:r w:rsidR="00F14B32">
        <w:rPr>
          <w:sz w:val="24"/>
          <w:szCs w:val="24"/>
        </w:rPr>
        <w:t>рикачена в ИСУН 2020</w:t>
      </w:r>
      <w:r w:rsidRPr="00BD3276">
        <w:rPr>
          <w:sz w:val="24"/>
          <w:szCs w:val="24"/>
        </w:rPr>
        <w:t xml:space="preserve"> – не се изисква за независими предприятия по смисъла на чл. 4, ал. 2 и ал. 4 от ЗМСП.</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д/</w:t>
      </w:r>
      <w:r w:rsidRPr="00BD3276">
        <w:rPr>
          <w:sz w:val="24"/>
          <w:szCs w:val="24"/>
        </w:rPr>
        <w:t xml:space="preserve"> Следните документи, </w:t>
      </w:r>
      <w:proofErr w:type="spellStart"/>
      <w:r w:rsidRPr="00BD3276">
        <w:rPr>
          <w:sz w:val="24"/>
          <w:szCs w:val="24"/>
        </w:rPr>
        <w:t>относими</w:t>
      </w:r>
      <w:proofErr w:type="spellEnd"/>
      <w:r w:rsidRPr="00BD3276">
        <w:rPr>
          <w:sz w:val="24"/>
          <w:szCs w:val="24"/>
        </w:rPr>
        <w:t xml:space="preserve"> и отразяващи разпределението на капитала за периода, за който се декларират данни в Декларацията за обстоятелствата по чл. 3 и чл. 4 от Закона за малките и средните предприятия:</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i/>
          <w:sz w:val="24"/>
          <w:szCs w:val="24"/>
        </w:rPr>
        <w:t>Книга за акционерите</w:t>
      </w:r>
      <w:r w:rsidRPr="00BD3276">
        <w:rPr>
          <w:sz w:val="24"/>
          <w:szCs w:val="24"/>
        </w:rPr>
        <w:t xml:space="preserve"> - приложимо за акционерните дружества с поименни акции;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i/>
          <w:sz w:val="24"/>
          <w:szCs w:val="24"/>
        </w:rPr>
        <w:t>Дружествен договор</w:t>
      </w:r>
      <w:r w:rsidRPr="00BD3276">
        <w:rPr>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i/>
          <w:sz w:val="24"/>
          <w:szCs w:val="24"/>
        </w:rPr>
        <w:t>Книга за акционерите и устав</w:t>
      </w:r>
      <w:r w:rsidRPr="00BD3276">
        <w:rPr>
          <w:sz w:val="24"/>
          <w:szCs w:val="24"/>
        </w:rPr>
        <w:t xml:space="preserve"> - приложимо за командитните дружества с акции;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i/>
          <w:sz w:val="24"/>
          <w:szCs w:val="24"/>
        </w:rPr>
        <w:t>Устав</w:t>
      </w:r>
      <w:r w:rsidRPr="00BD3276">
        <w:rPr>
          <w:sz w:val="24"/>
          <w:szCs w:val="24"/>
        </w:rPr>
        <w:t xml:space="preserve"> - приложимо за кооперациите;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i/>
          <w:sz w:val="24"/>
          <w:szCs w:val="24"/>
        </w:rPr>
        <w:t>Справка за разпределение капитала на дружеството</w:t>
      </w:r>
      <w:r w:rsidRPr="00BD3276">
        <w:rPr>
          <w:sz w:val="24"/>
          <w:szCs w:val="24"/>
        </w:rPr>
        <w:t xml:space="preserve">  – приложимо за акционерните дружества.</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lastRenderedPageBreak/>
        <w:t xml:space="preserve">Посочените документи </w:t>
      </w:r>
      <w:r w:rsidRPr="00DB344E">
        <w:rPr>
          <w:sz w:val="24"/>
          <w:szCs w:val="24"/>
        </w:rPr>
        <w:t>се представят</w:t>
      </w:r>
      <w:r w:rsidR="008B15CC" w:rsidRPr="00DB344E">
        <w:rPr>
          <w:sz w:val="24"/>
          <w:szCs w:val="24"/>
        </w:rPr>
        <w:t xml:space="preserve"> </w:t>
      </w:r>
      <w:r w:rsidR="00DB344E" w:rsidRPr="00DB344E">
        <w:rPr>
          <w:sz w:val="24"/>
          <w:szCs w:val="24"/>
        </w:rPr>
        <w:t>подписани с КЕП от лице с право да представлява кандидата</w:t>
      </w:r>
      <w:r w:rsidR="00DB344E" w:rsidRPr="00DB344E" w:rsidDel="00DB344E">
        <w:rPr>
          <w:sz w:val="24"/>
          <w:szCs w:val="24"/>
        </w:rPr>
        <w:t xml:space="preserve"> </w:t>
      </w:r>
      <w:r w:rsidR="0098310E">
        <w:rPr>
          <w:sz w:val="24"/>
          <w:szCs w:val="24"/>
        </w:rPr>
        <w:t xml:space="preserve">и прикачени в ИСУН 2020, </w:t>
      </w:r>
      <w:r w:rsidRPr="00BD3276">
        <w:rPr>
          <w:sz w:val="24"/>
          <w:szCs w:val="24"/>
        </w:rPr>
        <w:t>в случай че не са оповестени в Търговския регистър. В случай че посочените документи са оповестени в Търговския регистър, същите ще се проверяват по слу</w:t>
      </w:r>
      <w:r w:rsidR="00A7672C" w:rsidRPr="00BD3276">
        <w:rPr>
          <w:sz w:val="24"/>
          <w:szCs w:val="24"/>
        </w:rPr>
        <w:t>жебен път съгласно чл. 23, ал. 6</w:t>
      </w:r>
      <w:r w:rsidRPr="00BD3276">
        <w:rPr>
          <w:sz w:val="24"/>
          <w:szCs w:val="24"/>
        </w:rPr>
        <w:t xml:space="preserve"> от Закона за търговския регистър.</w:t>
      </w:r>
    </w:p>
    <w:p w:rsidR="00EF722B"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е/</w:t>
      </w:r>
      <w:r w:rsidRPr="00BD3276">
        <w:rPr>
          <w:sz w:val="24"/>
          <w:szCs w:val="24"/>
        </w:rPr>
        <w:t xml:space="preserve"> Отчет за приходите и разходите и Счетоводен баланс</w:t>
      </w:r>
      <w:r w:rsidRPr="00BD3276">
        <w:rPr>
          <w:rStyle w:val="FootnoteReference"/>
          <w:sz w:val="24"/>
          <w:szCs w:val="24"/>
        </w:rPr>
        <w:footnoteReference w:id="41"/>
      </w:r>
      <w:r w:rsidRPr="00BD3276">
        <w:rPr>
          <w:sz w:val="24"/>
          <w:szCs w:val="24"/>
        </w:rPr>
        <w:t xml:space="preserve"> за последната приключена финансова година</w:t>
      </w:r>
      <w:r w:rsidRPr="00BD3276">
        <w:rPr>
          <w:rStyle w:val="FootnoteReference"/>
          <w:sz w:val="24"/>
          <w:szCs w:val="24"/>
        </w:rPr>
        <w:footnoteReference w:id="42"/>
      </w:r>
      <w:r w:rsidRPr="00BD3276">
        <w:rPr>
          <w:sz w:val="24"/>
          <w:szCs w:val="24"/>
        </w:rPr>
        <w:t>, в случай че не е</w:t>
      </w:r>
      <w:r w:rsidR="006C2EAC" w:rsidRPr="00BD3276">
        <w:rPr>
          <w:sz w:val="24"/>
          <w:szCs w:val="24"/>
        </w:rPr>
        <w:t xml:space="preserve"> </w:t>
      </w:r>
      <w:r w:rsidR="00EF722B" w:rsidRPr="00BD3276">
        <w:rPr>
          <w:sz w:val="24"/>
          <w:szCs w:val="24"/>
        </w:rPr>
        <w:t xml:space="preserve">представен </w:t>
      </w:r>
      <w:r w:rsidRPr="00BD3276">
        <w:rPr>
          <w:sz w:val="24"/>
          <w:szCs w:val="24"/>
        </w:rPr>
        <w:t>на етап кандидатстване</w:t>
      </w:r>
      <w:r w:rsidR="002642C2" w:rsidRPr="00BD3276">
        <w:rPr>
          <w:sz w:val="24"/>
          <w:szCs w:val="24"/>
        </w:rPr>
        <w:t xml:space="preserve"> </w:t>
      </w:r>
      <w:r w:rsidR="00AD4E46">
        <w:rPr>
          <w:sz w:val="24"/>
          <w:szCs w:val="24"/>
        </w:rPr>
        <w:t>–</w:t>
      </w:r>
      <w:r w:rsidR="002642C2" w:rsidRPr="00BD3276">
        <w:rPr>
          <w:sz w:val="24"/>
          <w:szCs w:val="24"/>
        </w:rPr>
        <w:t xml:space="preserve"> </w:t>
      </w:r>
      <w:r w:rsidR="008B15CC" w:rsidRPr="00BD3276">
        <w:rPr>
          <w:sz w:val="24"/>
          <w:szCs w:val="24"/>
        </w:rPr>
        <w:t xml:space="preserve"> </w:t>
      </w:r>
      <w:r w:rsidR="00AD4E46">
        <w:rPr>
          <w:sz w:val="24"/>
          <w:szCs w:val="24"/>
        </w:rPr>
        <w:t xml:space="preserve">подписан с КЕП от лице с право да представлява кандидата </w:t>
      </w:r>
      <w:r w:rsidR="00A1752A">
        <w:rPr>
          <w:sz w:val="24"/>
          <w:szCs w:val="24"/>
        </w:rPr>
        <w:t>и прикачено в ИСУН 2020</w:t>
      </w:r>
      <w:r w:rsidR="002642C2" w:rsidRPr="00BD3276">
        <w:rPr>
          <w:sz w:val="24"/>
          <w:szCs w:val="24"/>
        </w:rPr>
        <w:t>.</w:t>
      </w:r>
    </w:p>
    <w:p w:rsidR="00EF722B" w:rsidRPr="00BD3276" w:rsidRDefault="00EF722B"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В случай че посочените документи са оповестени в Търговския регистър, същите ще се проверяват по слу</w:t>
      </w:r>
      <w:r w:rsidR="00A7672C" w:rsidRPr="00BD3276">
        <w:rPr>
          <w:sz w:val="24"/>
          <w:szCs w:val="24"/>
        </w:rPr>
        <w:t>жебен път съгласно чл. 23, ал. 6</w:t>
      </w:r>
      <w:r w:rsidRPr="00BD3276">
        <w:rPr>
          <w:sz w:val="24"/>
          <w:szCs w:val="24"/>
        </w:rPr>
        <w:t xml:space="preserve"> от Закона за търговския регистър.</w:t>
      </w:r>
    </w:p>
    <w:p w:rsidR="00980E56"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b/>
          <w:sz w:val="24"/>
          <w:szCs w:val="24"/>
        </w:rPr>
        <w:t>ж/</w:t>
      </w:r>
      <w:r w:rsidRPr="00BD3276">
        <w:rPr>
          <w:sz w:val="24"/>
          <w:szCs w:val="24"/>
        </w:rPr>
        <w:t xml:space="preserve"> Отчет за заетите лица, средствата за работна заплата и други разходи за труд</w:t>
      </w:r>
      <w:r w:rsidR="00E63017" w:rsidRPr="00BD3276">
        <w:rPr>
          <w:rStyle w:val="FootnoteReference"/>
          <w:sz w:val="24"/>
          <w:szCs w:val="24"/>
        </w:rPr>
        <w:footnoteReference w:id="43"/>
      </w:r>
      <w:r w:rsidRPr="00BD3276">
        <w:rPr>
          <w:sz w:val="24"/>
          <w:szCs w:val="24"/>
        </w:rPr>
        <w:t xml:space="preserve">  (за последните две приключени финансови години на кандидата, в случай че не са </w:t>
      </w:r>
      <w:r w:rsidR="002642C2" w:rsidRPr="00BD3276">
        <w:rPr>
          <w:sz w:val="24"/>
          <w:szCs w:val="24"/>
        </w:rPr>
        <w:t xml:space="preserve">представени </w:t>
      </w:r>
      <w:r w:rsidRPr="00BD3276">
        <w:rPr>
          <w:sz w:val="24"/>
          <w:szCs w:val="24"/>
        </w:rPr>
        <w:t>на етап кандидатстване</w:t>
      </w:r>
      <w:r w:rsidR="002642C2" w:rsidRPr="00BD3276">
        <w:rPr>
          <w:sz w:val="24"/>
          <w:szCs w:val="24"/>
        </w:rPr>
        <w:t xml:space="preserve">) </w:t>
      </w:r>
      <w:r w:rsidR="00FB1761">
        <w:rPr>
          <w:sz w:val="24"/>
          <w:szCs w:val="24"/>
        </w:rPr>
        <w:t>–</w:t>
      </w:r>
      <w:r w:rsidR="002642C2" w:rsidRPr="00BD3276">
        <w:rPr>
          <w:sz w:val="24"/>
          <w:szCs w:val="24"/>
        </w:rPr>
        <w:t xml:space="preserve"> </w:t>
      </w:r>
      <w:r w:rsidR="008B15CC" w:rsidRPr="00BD3276">
        <w:rPr>
          <w:sz w:val="24"/>
          <w:szCs w:val="24"/>
        </w:rPr>
        <w:t xml:space="preserve"> </w:t>
      </w:r>
      <w:r w:rsidR="00FB1761">
        <w:rPr>
          <w:sz w:val="24"/>
          <w:szCs w:val="24"/>
        </w:rPr>
        <w:t>подписан</w:t>
      </w:r>
      <w:r w:rsidR="00FB1761" w:rsidRPr="00FB1761">
        <w:rPr>
          <w:sz w:val="24"/>
          <w:szCs w:val="24"/>
        </w:rPr>
        <w:t xml:space="preserve"> с КЕП от лице с право да представлява кандидата</w:t>
      </w:r>
      <w:r w:rsidR="005D1198">
        <w:rPr>
          <w:sz w:val="24"/>
          <w:szCs w:val="24"/>
        </w:rPr>
        <w:t xml:space="preserve"> и прикачени в ИСУН 2020</w:t>
      </w:r>
      <w:r w:rsidR="002642C2" w:rsidRPr="00BD3276">
        <w:rPr>
          <w:sz w:val="24"/>
          <w:szCs w:val="24"/>
        </w:rPr>
        <w:t>.</w:t>
      </w:r>
    </w:p>
    <w:p w:rsidR="00EF722B" w:rsidRPr="00BD3276" w:rsidRDefault="00EF722B"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Посочените документи се представят</w:t>
      </w:r>
      <w:r w:rsidR="00E742C4" w:rsidRPr="00BD3276">
        <w:rPr>
          <w:sz w:val="24"/>
          <w:szCs w:val="24"/>
        </w:rPr>
        <w:t xml:space="preserve"> </w:t>
      </w:r>
      <w:r w:rsidR="00FB1761">
        <w:rPr>
          <w:sz w:val="24"/>
          <w:szCs w:val="24"/>
        </w:rPr>
        <w:t>подписани</w:t>
      </w:r>
      <w:r w:rsidR="00FB1761" w:rsidRPr="00FB1761">
        <w:rPr>
          <w:sz w:val="24"/>
          <w:szCs w:val="24"/>
        </w:rPr>
        <w:t xml:space="preserve"> с КЕП от лице с право да представлява кандидата</w:t>
      </w:r>
      <w:r w:rsidR="00A1752A">
        <w:rPr>
          <w:sz w:val="24"/>
          <w:szCs w:val="24"/>
        </w:rPr>
        <w:t xml:space="preserve"> и прикачени в ИСУН 2020, </w:t>
      </w:r>
      <w:r w:rsidRPr="00BD3276">
        <w:rPr>
          <w:sz w:val="24"/>
          <w:szCs w:val="24"/>
        </w:rPr>
        <w:t>в случай че не са оповестени в Търговския регистър. В случай че посочените документи са оповестени в Търговския регистър, същите ще се проверяват по слу</w:t>
      </w:r>
      <w:r w:rsidR="00A7672C" w:rsidRPr="00BD3276">
        <w:rPr>
          <w:sz w:val="24"/>
          <w:szCs w:val="24"/>
        </w:rPr>
        <w:t>жебен път съгласно чл. 23, ал. 6</w:t>
      </w:r>
      <w:r w:rsidRPr="00BD3276">
        <w:rPr>
          <w:sz w:val="24"/>
          <w:szCs w:val="24"/>
        </w:rPr>
        <w:t xml:space="preserve"> от Закона за търговския регистър.</w:t>
      </w:r>
    </w:p>
    <w:p w:rsidR="0021791A" w:rsidRPr="00BD3276" w:rsidRDefault="00BA13AC" w:rsidP="00BA13AC">
      <w:pPr>
        <w:pBdr>
          <w:top w:val="single" w:sz="4" w:space="1" w:color="auto"/>
          <w:left w:val="single" w:sz="4" w:space="4" w:color="auto"/>
          <w:bottom w:val="single" w:sz="4" w:space="1" w:color="auto"/>
          <w:right w:val="single" w:sz="4" w:space="4" w:color="auto"/>
        </w:pBdr>
        <w:spacing w:after="240" w:line="240" w:lineRule="auto"/>
        <w:jc w:val="both"/>
        <w:rPr>
          <w:b/>
          <w:sz w:val="24"/>
          <w:szCs w:val="24"/>
        </w:rPr>
      </w:pPr>
      <w:r w:rsidRPr="00BD3276">
        <w:rPr>
          <w:b/>
          <w:sz w:val="24"/>
          <w:szCs w:val="24"/>
          <w:u w:val="single"/>
        </w:rPr>
        <w:t>ВАЖНО:</w:t>
      </w:r>
      <w:r w:rsidRPr="00BD3276">
        <w:rPr>
          <w:b/>
          <w:sz w:val="24"/>
          <w:szCs w:val="24"/>
        </w:rPr>
        <w:t xml:space="preserve"> Преди сключване на договор, </w:t>
      </w:r>
      <w:r w:rsidR="006878DC" w:rsidRPr="00BD3276">
        <w:rPr>
          <w:b/>
          <w:sz w:val="24"/>
          <w:szCs w:val="24"/>
        </w:rPr>
        <w:t xml:space="preserve">Управляващият </w:t>
      </w:r>
      <w:r w:rsidRPr="00BD3276">
        <w:rPr>
          <w:b/>
          <w:sz w:val="24"/>
          <w:szCs w:val="24"/>
        </w:rPr>
        <w:t>орган ще извършва документална проверка на декларираната от одобрените кандидати категория на микро, малко</w:t>
      </w:r>
      <w:r w:rsidR="00157A84">
        <w:rPr>
          <w:b/>
          <w:sz w:val="24"/>
          <w:szCs w:val="24"/>
        </w:rPr>
        <w:t>,</w:t>
      </w:r>
      <w:r w:rsidRPr="00BD3276">
        <w:rPr>
          <w:b/>
          <w:sz w:val="24"/>
          <w:szCs w:val="24"/>
        </w:rPr>
        <w:t xml:space="preserve"> средно</w:t>
      </w:r>
      <w:r w:rsidR="00157A84">
        <w:rPr>
          <w:b/>
          <w:sz w:val="24"/>
          <w:szCs w:val="24"/>
        </w:rPr>
        <w:t xml:space="preserve"> или голямо</w:t>
      </w:r>
      <w:r w:rsidRPr="00BD3276">
        <w:rPr>
          <w:b/>
          <w:sz w:val="24"/>
          <w:szCs w:val="24"/>
        </w:rPr>
        <w:t xml:space="preserve"> предприятие. В случай че бъде установена погрешно декларирана категория, довела до одобрение на интензитет на безвъзмездната финансова помощ, по-висок от максимално допустимия и/или до неправилно класиране, за съответния кандидат ще бъде издадено Решение за отказ за предоставяне на безвъзмездна финансова помощ. В случай че в категорията/статуса на одобрен кандидат преди сключване на договор за безвъзмездна финансова помощ настъпи промяна, и в резултат на промяната интензитетът на помощта надхвърля максимално допустимия за новата категория съгласно т. 10 на Насоките, за съответния кандидат ще бъде издадено Решение за отказ за предоставяне на безвъзмездна финансова помощ.</w:t>
      </w:r>
      <w:r w:rsidR="00694522" w:rsidRPr="00BD3276">
        <w:rPr>
          <w:b/>
          <w:sz w:val="24"/>
          <w:szCs w:val="24"/>
          <w:u w:val="single"/>
        </w:rPr>
        <w:t xml:space="preserve"> </w:t>
      </w:r>
    </w:p>
    <w:p w:rsidR="005E5A1F" w:rsidRPr="00646EBC" w:rsidRDefault="005E5A1F" w:rsidP="001C47FD">
      <w:pPr>
        <w:pBdr>
          <w:top w:val="single" w:sz="4" w:space="1" w:color="auto"/>
          <w:left w:val="single" w:sz="4" w:space="4" w:color="auto"/>
          <w:bottom w:val="single" w:sz="4" w:space="1" w:color="auto"/>
          <w:right w:val="single" w:sz="4" w:space="4" w:color="auto"/>
        </w:pBdr>
        <w:spacing w:after="240" w:line="240" w:lineRule="auto"/>
        <w:jc w:val="both"/>
        <w:rPr>
          <w:rFonts w:ascii="Calibri" w:eastAsia="Times New Roman" w:hAnsi="Calibri" w:cs="Calibri"/>
          <w:b/>
          <w:sz w:val="24"/>
          <w:szCs w:val="24"/>
          <w:lang w:eastAsia="bg-BG"/>
        </w:rPr>
      </w:pPr>
      <w:r w:rsidRPr="00646EBC">
        <w:rPr>
          <w:rFonts w:ascii="Calibri" w:eastAsia="Times New Roman" w:hAnsi="Calibri" w:cs="Calibri"/>
          <w:b/>
          <w:sz w:val="24"/>
          <w:szCs w:val="24"/>
          <w:lang w:eastAsia="bg-BG"/>
        </w:rPr>
        <w:lastRenderedPageBreak/>
        <w:t>Преди сключване на договор, Управляващият орган ще извършва и документална проверка за включени проекти в списъка с одобрените за финансиране проектни предложения</w:t>
      </w:r>
      <w:r w:rsidR="00423576" w:rsidRPr="00646EBC">
        <w:rPr>
          <w:rFonts w:ascii="Calibri" w:eastAsia="Times New Roman" w:hAnsi="Calibri" w:cs="Calibri"/>
          <w:b/>
          <w:sz w:val="24"/>
          <w:szCs w:val="24"/>
          <w:lang w:eastAsia="bg-BG"/>
        </w:rPr>
        <w:t>/списъка с резервни</w:t>
      </w:r>
      <w:r w:rsidRPr="00646EBC">
        <w:rPr>
          <w:rFonts w:ascii="Calibri" w:eastAsia="Times New Roman" w:hAnsi="Calibri" w:cs="Calibri"/>
          <w:b/>
          <w:sz w:val="24"/>
          <w:szCs w:val="24"/>
          <w:lang w:eastAsia="bg-BG"/>
        </w:rPr>
        <w:t xml:space="preserve"> кандидати </w:t>
      </w:r>
      <w:r w:rsidR="00423576" w:rsidRPr="00646EBC">
        <w:rPr>
          <w:rFonts w:ascii="Calibri" w:eastAsia="Times New Roman" w:hAnsi="Calibri" w:cs="Calibri"/>
          <w:b/>
          <w:sz w:val="24"/>
          <w:szCs w:val="24"/>
          <w:lang w:eastAsia="bg-BG"/>
        </w:rPr>
        <w:t>за</w:t>
      </w:r>
      <w:r w:rsidRPr="00646EBC">
        <w:rPr>
          <w:rFonts w:ascii="Calibri" w:eastAsia="Times New Roman" w:hAnsi="Calibri" w:cs="Calibri"/>
          <w:b/>
          <w:sz w:val="24"/>
          <w:szCs w:val="24"/>
          <w:lang w:eastAsia="bg-BG"/>
        </w:rPr>
        <w:t xml:space="preserve"> свързани предприятия, осъществяващи сходна дейност. В случай че бъде установено наличие на посоченото обстоятелство, ще бъде издадено Решение за отказ за предоставяне на безвъзмездна финансова помощ на всяко проектно предложение от списъка с одобрени за финансиране проектни предложения, </w:t>
      </w:r>
      <w:r w:rsidR="0040739F">
        <w:rPr>
          <w:rFonts w:ascii="Calibri" w:eastAsia="Times New Roman" w:hAnsi="Calibri" w:cs="Calibri"/>
          <w:b/>
          <w:sz w:val="24"/>
          <w:szCs w:val="24"/>
          <w:lang w:eastAsia="bg-BG"/>
        </w:rPr>
        <w:t>класирано</w:t>
      </w:r>
      <w:r w:rsidRPr="00646EBC">
        <w:rPr>
          <w:rFonts w:ascii="Calibri" w:eastAsia="Times New Roman" w:hAnsi="Calibri" w:cs="Calibri"/>
          <w:b/>
          <w:sz w:val="24"/>
          <w:szCs w:val="24"/>
          <w:lang w:eastAsia="bg-BG"/>
        </w:rPr>
        <w:t xml:space="preserve"> след първото такова по точки, което също е включено списъка с одобрени за финансиране проектни предложения</w:t>
      </w:r>
      <w:r w:rsidR="009722BC" w:rsidRPr="00646EBC">
        <w:rPr>
          <w:rFonts w:ascii="Calibri" w:eastAsia="Times New Roman" w:hAnsi="Calibri" w:cs="Calibri"/>
          <w:b/>
          <w:sz w:val="24"/>
          <w:szCs w:val="24"/>
          <w:lang w:eastAsia="bg-BG"/>
        </w:rPr>
        <w:t>/списъка с резервни проектни предложения.</w:t>
      </w:r>
    </w:p>
    <w:p w:rsidR="00101D68" w:rsidRPr="00BD3276" w:rsidRDefault="00101D68" w:rsidP="001C47FD">
      <w:pPr>
        <w:pBdr>
          <w:top w:val="single" w:sz="4" w:space="1" w:color="auto"/>
          <w:left w:val="single" w:sz="4" w:space="4" w:color="auto"/>
          <w:bottom w:val="single" w:sz="4" w:space="1" w:color="auto"/>
          <w:right w:val="single" w:sz="4" w:space="4" w:color="auto"/>
        </w:pBdr>
        <w:spacing w:after="240" w:line="240" w:lineRule="auto"/>
        <w:jc w:val="both"/>
        <w:rPr>
          <w:rFonts w:ascii="Calibri" w:eastAsia="Times New Roman" w:hAnsi="Calibri" w:cs="Calibri"/>
          <w:b/>
          <w:sz w:val="24"/>
          <w:szCs w:val="24"/>
          <w:lang w:eastAsia="bg-BG"/>
        </w:rPr>
      </w:pPr>
      <w:r w:rsidRPr="00BD3276">
        <w:rPr>
          <w:rFonts w:ascii="Calibri" w:eastAsia="Times New Roman" w:hAnsi="Calibri" w:cs="Calibri"/>
          <w:b/>
          <w:sz w:val="24"/>
          <w:szCs w:val="24"/>
          <w:lang w:eastAsia="bg-BG"/>
        </w:rPr>
        <w:t xml:space="preserve">В) Предмет на проверка  преди сключване на договора за безвъзмездна финансова помощ е и </w:t>
      </w:r>
      <w:r w:rsidR="001C462F" w:rsidRPr="00BD3276">
        <w:rPr>
          <w:rFonts w:ascii="Calibri" w:eastAsia="Times New Roman" w:hAnsi="Calibri" w:cs="Calibri"/>
          <w:b/>
          <w:sz w:val="24"/>
          <w:szCs w:val="24"/>
          <w:lang w:eastAsia="bg-BG"/>
        </w:rPr>
        <w:t>доказване с документи на следните декларирани на етап кандидатстване обстоятелства:</w:t>
      </w:r>
    </w:p>
    <w:p w:rsidR="006716FF" w:rsidRPr="006716FF" w:rsidRDefault="006716FF" w:rsidP="006716F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6716FF">
        <w:rPr>
          <w:rFonts w:ascii="Calibri" w:eastAsia="Calibri" w:hAnsi="Calibri" w:cs="Times New Roman"/>
          <w:b/>
          <w:sz w:val="24"/>
          <w:szCs w:val="24"/>
        </w:rPr>
        <w:t>В1.</w:t>
      </w:r>
      <w:r w:rsidRPr="006716FF">
        <w:rPr>
          <w:rFonts w:ascii="Calibri" w:eastAsia="Calibri" w:hAnsi="Calibri" w:cs="Times New Roman"/>
          <w:sz w:val="24"/>
          <w:szCs w:val="24"/>
        </w:rPr>
        <w:t xml:space="preserve"> В случай че кандидатстват за регионална инвестиционна помощ: </w:t>
      </w:r>
    </w:p>
    <w:p w:rsidR="008D7B46" w:rsidRPr="00BD3276" w:rsidRDefault="001C462F" w:rsidP="007A1D47">
      <w:pPr>
        <w:pBdr>
          <w:top w:val="single" w:sz="4" w:space="1" w:color="auto"/>
          <w:left w:val="single" w:sz="4" w:space="4" w:color="auto"/>
          <w:bottom w:val="single" w:sz="4" w:space="1" w:color="auto"/>
          <w:right w:val="single" w:sz="4" w:space="4" w:color="auto"/>
        </w:pBdr>
        <w:spacing w:after="240" w:line="240" w:lineRule="auto"/>
        <w:jc w:val="both"/>
        <w:rPr>
          <w:rFonts w:ascii="Calibri" w:eastAsia="Times New Roman" w:hAnsi="Calibri" w:cs="Calibri"/>
          <w:sz w:val="24"/>
          <w:szCs w:val="24"/>
          <w:lang w:eastAsia="bg-BG"/>
        </w:rPr>
      </w:pPr>
      <w:r w:rsidRPr="00BD3276">
        <w:rPr>
          <w:rFonts w:ascii="Calibri" w:eastAsia="Times New Roman" w:hAnsi="Calibri" w:cs="Calibri"/>
          <w:b/>
          <w:sz w:val="24"/>
          <w:szCs w:val="24"/>
          <w:lang w:eastAsia="bg-BG"/>
        </w:rPr>
        <w:t>з)</w:t>
      </w:r>
      <w:r w:rsidR="007A1D47" w:rsidRPr="00BD3276">
        <w:t xml:space="preserve"> </w:t>
      </w:r>
      <w:r w:rsidR="00367A0E" w:rsidRPr="00BD3276">
        <w:rPr>
          <w:rFonts w:ascii="Calibri" w:eastAsia="Times New Roman" w:hAnsi="Calibri" w:cs="Calibri"/>
          <w:sz w:val="24"/>
          <w:szCs w:val="24"/>
          <w:lang w:eastAsia="bg-BG"/>
        </w:rPr>
        <w:t>Недопустими са кандидати</w:t>
      </w:r>
      <w:r w:rsidR="00F35125">
        <w:rPr>
          <w:rFonts w:ascii="Calibri" w:eastAsia="Times New Roman" w:hAnsi="Calibri" w:cs="Calibri"/>
          <w:sz w:val="24"/>
          <w:szCs w:val="24"/>
          <w:lang w:eastAsia="bg-BG"/>
        </w:rPr>
        <w:t xml:space="preserve"> (на ниво група)</w:t>
      </w:r>
      <w:r w:rsidR="00345E3C" w:rsidRPr="00BD3276">
        <w:rPr>
          <w:rFonts w:ascii="Calibri" w:eastAsia="Times New Roman" w:hAnsi="Calibri" w:cs="Calibri"/>
          <w:sz w:val="24"/>
          <w:szCs w:val="24"/>
          <w:lang w:eastAsia="bg-BG"/>
        </w:rPr>
        <w:t>, които</w:t>
      </w:r>
      <w:r w:rsidR="00367A0E" w:rsidRPr="00BD3276">
        <w:rPr>
          <w:rFonts w:ascii="Calibri" w:eastAsia="Times New Roman" w:hAnsi="Calibri" w:cs="Calibri"/>
          <w:sz w:val="24"/>
          <w:szCs w:val="24"/>
          <w:lang w:eastAsia="bg-BG"/>
        </w:rPr>
        <w:t xml:space="preserve"> </w:t>
      </w:r>
      <w:r w:rsidR="007A1D47" w:rsidRPr="00BD3276">
        <w:rPr>
          <w:rFonts w:ascii="Calibri" w:eastAsia="Times New Roman" w:hAnsi="Calibri" w:cs="Calibri"/>
          <w:sz w:val="24"/>
          <w:szCs w:val="24"/>
          <w:lang w:eastAsia="bg-BG"/>
        </w:rPr>
        <w:t>са закрили същата или подобна дейност в Европейското икономическо пространство през двете години, предхождащи подаването на проектното предложение, или които към момента на подаване на проектното предложение имат конкретни планове да закрият такава дейност в срок до две години след приключването на първоначалната инвестиция, за която се кандидатства за помощта, в съответния регион</w:t>
      </w:r>
      <w:r w:rsidR="008D7B46" w:rsidRPr="00BD3276">
        <w:rPr>
          <w:rFonts w:ascii="Calibri" w:eastAsia="Times New Roman" w:hAnsi="Calibri" w:cs="Calibri"/>
          <w:sz w:val="24"/>
          <w:szCs w:val="24"/>
          <w:lang w:eastAsia="bg-BG"/>
        </w:rPr>
        <w:t>:</w:t>
      </w:r>
    </w:p>
    <w:p w:rsidR="00ED2126" w:rsidRPr="00856916" w:rsidRDefault="008D7B46"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D3276">
        <w:rPr>
          <w:rFonts w:ascii="Calibri" w:eastAsia="Times New Roman" w:hAnsi="Calibri" w:cs="Calibri"/>
          <w:sz w:val="24"/>
          <w:szCs w:val="24"/>
          <w:lang w:eastAsia="bg-BG"/>
        </w:rPr>
        <w:t>С оглед на горното преди сключване на договора к</w:t>
      </w:r>
      <w:r w:rsidR="00856916">
        <w:rPr>
          <w:rFonts w:ascii="Calibri" w:eastAsia="Times New Roman" w:hAnsi="Calibri" w:cs="Calibri"/>
          <w:sz w:val="24"/>
          <w:szCs w:val="24"/>
          <w:lang w:eastAsia="bg-BG"/>
        </w:rPr>
        <w:t xml:space="preserve">андидатите следва да представят </w:t>
      </w:r>
      <w:r w:rsidR="00ED2126" w:rsidRPr="00BD3276">
        <w:rPr>
          <w:sz w:val="24"/>
          <w:szCs w:val="24"/>
        </w:rPr>
        <w:t>Приложение (пояснителни бележки), съставна част от годишния финансов отчет</w:t>
      </w:r>
      <w:r w:rsidR="00F35125" w:rsidRPr="00F35125">
        <w:t xml:space="preserve"> </w:t>
      </w:r>
      <w:r w:rsidR="00F35125" w:rsidRPr="00F35125">
        <w:rPr>
          <w:sz w:val="24"/>
          <w:szCs w:val="24"/>
        </w:rPr>
        <w:t>или съответно консолидирания финансов отчет (за група предприятия)</w:t>
      </w:r>
      <w:r w:rsidR="00ED2126" w:rsidRPr="00BD3276">
        <w:rPr>
          <w:sz w:val="24"/>
          <w:szCs w:val="24"/>
        </w:rPr>
        <w:t xml:space="preserve"> за 2014 г.</w:t>
      </w:r>
      <w:r w:rsidR="00ED2126" w:rsidRPr="00BD3276">
        <w:rPr>
          <w:rStyle w:val="FootnoteReference"/>
          <w:sz w:val="24"/>
          <w:szCs w:val="24"/>
        </w:rPr>
        <w:footnoteReference w:id="44"/>
      </w:r>
      <w:r w:rsidR="00ED2126" w:rsidRPr="00BD3276">
        <w:rPr>
          <w:sz w:val="24"/>
          <w:szCs w:val="24"/>
        </w:rPr>
        <w:t xml:space="preserve"> - </w:t>
      </w:r>
      <w:r w:rsidR="00244515" w:rsidRPr="00244515">
        <w:rPr>
          <w:b/>
          <w:sz w:val="24"/>
          <w:szCs w:val="24"/>
        </w:rPr>
        <w:t>подписан</w:t>
      </w:r>
      <w:r w:rsidR="00244515">
        <w:rPr>
          <w:b/>
          <w:sz w:val="24"/>
          <w:szCs w:val="24"/>
        </w:rPr>
        <w:t>о</w:t>
      </w:r>
      <w:r w:rsidR="00244515" w:rsidRPr="00244515">
        <w:rPr>
          <w:b/>
          <w:sz w:val="24"/>
          <w:szCs w:val="24"/>
        </w:rPr>
        <w:t xml:space="preserve"> с КЕП от лице с право да представлява кандидата</w:t>
      </w:r>
      <w:r w:rsidR="000B7F62">
        <w:rPr>
          <w:b/>
          <w:sz w:val="24"/>
          <w:szCs w:val="24"/>
        </w:rPr>
        <w:t xml:space="preserve"> и прикачено в ИСУН 2020</w:t>
      </w:r>
      <w:r w:rsidR="00ED2126" w:rsidRPr="00BD3276">
        <w:rPr>
          <w:sz w:val="24"/>
          <w:szCs w:val="24"/>
        </w:rPr>
        <w:t>.</w:t>
      </w:r>
    </w:p>
    <w:p w:rsidR="00ED2126" w:rsidRPr="005F0BC6" w:rsidRDefault="00ED2126"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D3276">
        <w:rPr>
          <w:sz w:val="24"/>
          <w:szCs w:val="24"/>
        </w:rPr>
        <w:t>В случай че посоченият документ е оповестен в Търговския регистър към датата на кандидатстване, същият ще се проверява по служебен път съгласно чл. 23, ал. 6 от Закона за търговския регистър.</w:t>
      </w:r>
    </w:p>
    <w:p w:rsidR="00DD5C62" w:rsidRPr="00DD5C62" w:rsidRDefault="0031592F" w:rsidP="00DD5C62">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b/>
          <w:sz w:val="24"/>
          <w:szCs w:val="24"/>
        </w:rPr>
        <w:t>В</w:t>
      </w:r>
      <w:r w:rsidR="00DD5C62" w:rsidRPr="00DD5C62">
        <w:rPr>
          <w:rFonts w:ascii="Calibri" w:eastAsia="Calibri" w:hAnsi="Calibri" w:cs="Times New Roman"/>
          <w:b/>
          <w:sz w:val="24"/>
          <w:szCs w:val="24"/>
        </w:rPr>
        <w:t>2.</w:t>
      </w:r>
      <w:r w:rsidR="00DD5C62" w:rsidRPr="00DD5C62">
        <w:rPr>
          <w:rFonts w:ascii="Calibri" w:eastAsia="Calibri" w:hAnsi="Calibri" w:cs="Times New Roman"/>
          <w:sz w:val="24"/>
          <w:szCs w:val="24"/>
        </w:rPr>
        <w:t xml:space="preserve"> В случай че кандидатстват за регионална инвестиционна помощ и/или </w:t>
      </w:r>
      <w:r w:rsidR="00B67537">
        <w:rPr>
          <w:rFonts w:ascii="Calibri" w:eastAsia="Calibri" w:hAnsi="Calibri" w:cs="Times New Roman"/>
          <w:sz w:val="24"/>
          <w:szCs w:val="24"/>
        </w:rPr>
        <w:t>„</w:t>
      </w:r>
      <w:r w:rsidR="00DD5C62" w:rsidRPr="00DD5C62">
        <w:rPr>
          <w:rFonts w:ascii="Calibri" w:eastAsia="Calibri" w:hAnsi="Calibri" w:cs="Times New Roman"/>
          <w:sz w:val="24"/>
          <w:szCs w:val="24"/>
        </w:rPr>
        <w:t xml:space="preserve">помощ за консултантски и помощни услуги за иновации в полза на МСП“ по чл. 28, </w:t>
      </w:r>
      <w:proofErr w:type="spellStart"/>
      <w:r w:rsidR="00DD5C62" w:rsidRPr="00DD5C62">
        <w:rPr>
          <w:rFonts w:ascii="Calibri" w:eastAsia="Calibri" w:hAnsi="Calibri" w:cs="Times New Roman"/>
          <w:sz w:val="24"/>
          <w:szCs w:val="24"/>
        </w:rPr>
        <w:t>пар</w:t>
      </w:r>
      <w:proofErr w:type="spellEnd"/>
      <w:r w:rsidR="00DD5C62" w:rsidRPr="00DD5C62">
        <w:rPr>
          <w:rFonts w:ascii="Calibri" w:eastAsia="Calibri" w:hAnsi="Calibri" w:cs="Times New Roman"/>
          <w:sz w:val="24"/>
          <w:szCs w:val="24"/>
        </w:rPr>
        <w:t>. 4 от Регламент (ЕС) № 651/2014:</w:t>
      </w:r>
    </w:p>
    <w:p w:rsidR="0004538D" w:rsidRPr="00BD3276" w:rsidRDefault="0004538D"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D3276">
        <w:rPr>
          <w:b/>
          <w:sz w:val="24"/>
          <w:szCs w:val="24"/>
        </w:rPr>
        <w:t xml:space="preserve">и) </w:t>
      </w:r>
      <w:r w:rsidRPr="00BD3276">
        <w:rPr>
          <w:rFonts w:ascii="Calibri" w:eastAsia="Times New Roman" w:hAnsi="Calibri" w:cs="Calibri"/>
          <w:sz w:val="24"/>
          <w:szCs w:val="24"/>
          <w:lang w:eastAsia="bg-BG"/>
        </w:rPr>
        <w:t>Недопустими са канди</w:t>
      </w:r>
      <w:r w:rsidRPr="00BD3276">
        <w:rPr>
          <w:sz w:val="24"/>
          <w:szCs w:val="24"/>
        </w:rPr>
        <w:t xml:space="preserve">дати по чл. 2, </w:t>
      </w:r>
      <w:proofErr w:type="spellStart"/>
      <w:r w:rsidRPr="00BD3276">
        <w:rPr>
          <w:sz w:val="24"/>
          <w:szCs w:val="24"/>
        </w:rPr>
        <w:t>пар</w:t>
      </w:r>
      <w:proofErr w:type="spellEnd"/>
      <w:r w:rsidRPr="00BD3276">
        <w:rPr>
          <w:sz w:val="24"/>
          <w:szCs w:val="24"/>
        </w:rPr>
        <w:t>. 18, буква „г“ от Регламент на Комисията (ЕС) № 651/2014, които са получили помощ за оздравяване и все още не са възстановили заема или не са прекратили гаранцията, или са получили помощ за преструктуриране и все още са обект на план за преструктуриране</w:t>
      </w:r>
    </w:p>
    <w:p w:rsidR="00AE7A86" w:rsidRPr="00BD3276" w:rsidRDefault="00AE7A86" w:rsidP="00AE7A8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Calibri" w:eastAsia="Times New Roman" w:hAnsi="Calibri" w:cs="Calibri"/>
          <w:sz w:val="24"/>
          <w:szCs w:val="24"/>
          <w:lang w:eastAsia="bg-BG"/>
        </w:rPr>
      </w:pPr>
    </w:p>
    <w:p w:rsidR="00ED2126" w:rsidRPr="00BD3276" w:rsidRDefault="00AE7A86"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rFonts w:ascii="Calibri" w:eastAsia="Times New Roman" w:hAnsi="Calibri" w:cs="Calibri"/>
          <w:sz w:val="24"/>
          <w:szCs w:val="24"/>
          <w:lang w:eastAsia="bg-BG"/>
        </w:rPr>
        <w:t>С оглед на горното преди сключване на договора кандидатите следва да представят</w:t>
      </w:r>
      <w:r w:rsidR="00087E20" w:rsidRPr="00BD3276">
        <w:rPr>
          <w:sz w:val="24"/>
          <w:szCs w:val="24"/>
        </w:rPr>
        <w:t xml:space="preserve"> </w:t>
      </w:r>
      <w:r w:rsidR="00ED2126" w:rsidRPr="00BD3276">
        <w:rPr>
          <w:sz w:val="24"/>
          <w:szCs w:val="24"/>
        </w:rPr>
        <w:t xml:space="preserve">Справка-извлечение за 2014 г. от счетоводните сметки на </w:t>
      </w:r>
      <w:proofErr w:type="spellStart"/>
      <w:r w:rsidR="00ED2126" w:rsidRPr="00BD3276">
        <w:rPr>
          <w:sz w:val="24"/>
          <w:szCs w:val="24"/>
        </w:rPr>
        <w:t>кандита</w:t>
      </w:r>
      <w:proofErr w:type="spellEnd"/>
      <w:r w:rsidR="00ED2126" w:rsidRPr="00BD3276">
        <w:rPr>
          <w:sz w:val="24"/>
          <w:szCs w:val="24"/>
        </w:rPr>
        <w:t xml:space="preserve"> по индивидуалния сметкоплан, утвърден от ръководството на предприятието, отчитащи приходите от дейността в т.ч., отчитащи нетните приходи от продажби, включително и приходите от </w:t>
      </w:r>
      <w:r w:rsidR="00ED2126" w:rsidRPr="00BD3276">
        <w:rPr>
          <w:sz w:val="24"/>
          <w:szCs w:val="24"/>
        </w:rPr>
        <w:lastRenderedPageBreak/>
        <w:t>финансирания и субсидии от държавата, както и отсрочени и разсрочени публични вземания</w:t>
      </w:r>
      <w:r w:rsidR="006F7020" w:rsidRPr="00BD3276">
        <w:rPr>
          <w:sz w:val="24"/>
          <w:szCs w:val="24"/>
        </w:rPr>
        <w:t xml:space="preserve"> </w:t>
      </w:r>
      <w:r w:rsidR="00ED2126" w:rsidRPr="00BD3276">
        <w:rPr>
          <w:sz w:val="24"/>
          <w:szCs w:val="24"/>
        </w:rPr>
        <w:t xml:space="preserve">- </w:t>
      </w:r>
      <w:r w:rsidR="00B1069A" w:rsidRPr="00B1069A">
        <w:rPr>
          <w:b/>
          <w:sz w:val="24"/>
          <w:szCs w:val="24"/>
        </w:rPr>
        <w:t>подписан</w:t>
      </w:r>
      <w:r w:rsidR="00B1069A">
        <w:rPr>
          <w:b/>
          <w:sz w:val="24"/>
          <w:szCs w:val="24"/>
        </w:rPr>
        <w:t>а</w:t>
      </w:r>
      <w:r w:rsidR="00B1069A" w:rsidRPr="00B1069A">
        <w:rPr>
          <w:b/>
          <w:sz w:val="24"/>
          <w:szCs w:val="24"/>
        </w:rPr>
        <w:t xml:space="preserve"> с КЕП от лице с право да представлява кандидата</w:t>
      </w:r>
      <w:r w:rsidR="00C17971">
        <w:rPr>
          <w:b/>
          <w:sz w:val="24"/>
          <w:szCs w:val="24"/>
        </w:rPr>
        <w:t xml:space="preserve"> и прикачен</w:t>
      </w:r>
      <w:r w:rsidR="00B1069A">
        <w:rPr>
          <w:b/>
          <w:sz w:val="24"/>
          <w:szCs w:val="24"/>
        </w:rPr>
        <w:t>а</w:t>
      </w:r>
      <w:r w:rsidR="00C17971">
        <w:rPr>
          <w:b/>
          <w:sz w:val="24"/>
          <w:szCs w:val="24"/>
        </w:rPr>
        <w:t xml:space="preserve"> в ИСУН 2020</w:t>
      </w:r>
      <w:r w:rsidR="00ED2126" w:rsidRPr="00BD3276">
        <w:rPr>
          <w:sz w:val="24"/>
          <w:szCs w:val="24"/>
        </w:rPr>
        <w:t>.</w:t>
      </w:r>
    </w:p>
    <w:p w:rsidR="00AC25A6" w:rsidRPr="00BD3276" w:rsidRDefault="00AC25A6"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9A3C36" w:rsidRPr="00BD3276" w:rsidRDefault="009A3C36" w:rsidP="00ED212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Преди сключване на договора за безвъзмездна помощ по процедурата</w:t>
      </w:r>
      <w:r w:rsidR="002E76DC" w:rsidRPr="00BD3276">
        <w:rPr>
          <w:sz w:val="24"/>
          <w:szCs w:val="24"/>
        </w:rPr>
        <w:t xml:space="preserve"> ще бъде извършвана и служебна проверка в </w:t>
      </w:r>
      <w:r w:rsidR="0071732A" w:rsidRPr="00BD3276">
        <w:rPr>
          <w:sz w:val="24"/>
          <w:szCs w:val="24"/>
        </w:rPr>
        <w:t>публичния регистър на Европейската комисия (</w:t>
      </w:r>
      <w:hyperlink r:id="rId11" w:history="1">
        <w:r w:rsidR="0071732A" w:rsidRPr="00BD3276">
          <w:rPr>
            <w:rStyle w:val="Hyperlink"/>
            <w:sz w:val="24"/>
            <w:szCs w:val="24"/>
          </w:rPr>
          <w:t>http://ec.europa.eu/competition/elojade/isef/index.cfm?clear=1&amp;policy_area_id=3</w:t>
        </w:r>
      </w:hyperlink>
      <w:r w:rsidR="0071732A" w:rsidRPr="00BD3276">
        <w:rPr>
          <w:sz w:val="24"/>
          <w:szCs w:val="24"/>
        </w:rPr>
        <w:t xml:space="preserve">), </w:t>
      </w:r>
      <w:r w:rsidR="00A05985" w:rsidRPr="00BD3276">
        <w:rPr>
          <w:sz w:val="24"/>
          <w:szCs w:val="24"/>
        </w:rPr>
        <w:t xml:space="preserve">а също и в Информационна система "Регистър на минималните и държавните помощи" </w:t>
      </w:r>
      <w:r w:rsidR="0071732A" w:rsidRPr="00BD3276">
        <w:rPr>
          <w:sz w:val="24"/>
          <w:szCs w:val="24"/>
        </w:rPr>
        <w:t>относно обстоятелството дали кандидатът е получавал помощ за оздравяване или съответно помощ за преструктуриране.</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В случай на липсващ/и изискуем/и документ/и и/или несъответстващ/и на изискванията документ/и, когато кандидатът е декларирал в писмен вид причините за това, като приложи/приведе доказателства, че непредставянето на съответния/те документ/и е по независещи от кандидата причини, може да бъде указан допълнителен срок за представяне на необходимите документи.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В случай че за конкретен кандидат се установи необходимост от допълнителни разяснения и/или доказателства във връзка с декларирани от кандидата данни, на кандидата не се предоставя за подпис договора за безвъзмездна финансова помощ и на същия се определя допълнителен срок за предоставянето му/им.</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След представяне на допълнителните разяснения и/или доказателства и проверката им </w:t>
      </w:r>
      <w:r w:rsidR="006878DC" w:rsidRPr="00BD3276">
        <w:rPr>
          <w:sz w:val="24"/>
          <w:szCs w:val="24"/>
        </w:rPr>
        <w:t xml:space="preserve">Управляващият </w:t>
      </w:r>
      <w:r w:rsidRPr="00BD3276">
        <w:rPr>
          <w:sz w:val="24"/>
          <w:szCs w:val="24"/>
        </w:rPr>
        <w:t>орган преценява дали да бъде сключен договор за безвъзмездна финансова помощ с кандидата или да бъде издадено Решение за отказ за предоставяне на безвъзмездна финансова помощ.</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Договори за предоставяне на безвъзмездна финансова помощ се сключват с всички кандидати, които представят липсващите и/или несъответстващите на изискванията документи в рамките на допълнително указания срок. С кандидатите, които не представят липсващите документи или отново представят документи, които не съответстват на изискванията, не се сключват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(в случай че такъв е съставен), по </w:t>
      </w:r>
      <w:proofErr w:type="spellStart"/>
      <w:r w:rsidRPr="00BD3276">
        <w:rPr>
          <w:sz w:val="24"/>
          <w:szCs w:val="24"/>
        </w:rPr>
        <w:t>поредността</w:t>
      </w:r>
      <w:proofErr w:type="spellEnd"/>
      <w:r w:rsidRPr="00BD3276">
        <w:rPr>
          <w:sz w:val="24"/>
          <w:szCs w:val="24"/>
        </w:rPr>
        <w:t xml:space="preserve"> на класирането им до изчерпване на общия наличен бюджет по процедурата.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Когато при извършване на проверката по същество на представените от кандидатите, документи </w:t>
      </w:r>
      <w:r w:rsidR="00AE0D09" w:rsidRPr="00BD3276">
        <w:rPr>
          <w:sz w:val="24"/>
          <w:szCs w:val="24"/>
        </w:rPr>
        <w:t xml:space="preserve">при </w:t>
      </w:r>
      <w:r w:rsidRPr="00BD3276">
        <w:rPr>
          <w:sz w:val="24"/>
          <w:szCs w:val="24"/>
        </w:rPr>
        <w:t xml:space="preserve">сключване на договор за безвъзмездна помощ, се установи несъответствие между декларирани данни на етап кандидатстване и информацията, посочена в представените документи, договор за безвъзмездна финансова помощ не се сключва, като за договаряне ще бъдат поканени съответният броя кандидати от резервния списък (в случай че такъв е съставен), по </w:t>
      </w:r>
      <w:proofErr w:type="spellStart"/>
      <w:r w:rsidRPr="00BD3276">
        <w:rPr>
          <w:sz w:val="24"/>
          <w:szCs w:val="24"/>
        </w:rPr>
        <w:t>поредността</w:t>
      </w:r>
      <w:proofErr w:type="spellEnd"/>
      <w:r w:rsidRPr="00BD3276">
        <w:rPr>
          <w:sz w:val="24"/>
          <w:szCs w:val="24"/>
        </w:rPr>
        <w:t xml:space="preserve"> на класирането им в съответната категория предприятие, до изчерпване на общия наличен бюджет по процедурата.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lastRenderedPageBreak/>
        <w:t xml:space="preserve">Ако кандидат по одобрен за финансиране проект откаже сключване на договор за безвъзмездна финансова помощ, се пристъпва към сключване на договор с кандидатите от резервния списък (в случай че такъв е съставен) по </w:t>
      </w:r>
      <w:proofErr w:type="spellStart"/>
      <w:r w:rsidRPr="00BD3276">
        <w:rPr>
          <w:sz w:val="24"/>
          <w:szCs w:val="24"/>
        </w:rPr>
        <w:t>поредността</w:t>
      </w:r>
      <w:proofErr w:type="spellEnd"/>
      <w:r w:rsidRPr="00BD3276">
        <w:rPr>
          <w:sz w:val="24"/>
          <w:szCs w:val="24"/>
        </w:rPr>
        <w:t xml:space="preserve"> на класирането им в съответната категория предприятие, до изчерпване на наличния бюджет по процедурата.</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Ръководителят на Управляващия орган взема мотивирано решение за отказ за предоставяне на безвъзмездна финансова помощ и ако преди момента на сключването на договора:</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кандидатът не сключи договор в срока, определен в поканата;</w:t>
      </w:r>
    </w:p>
    <w:p w:rsidR="00BA13AC"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се установи надхвърляне на прага на допустимите държавни</w:t>
      </w:r>
      <w:r w:rsidR="001F59D8">
        <w:rPr>
          <w:sz w:val="24"/>
          <w:szCs w:val="24"/>
        </w:rPr>
        <w:t>/минимални</w:t>
      </w:r>
      <w:r w:rsidRPr="00BD3276">
        <w:rPr>
          <w:sz w:val="24"/>
          <w:szCs w:val="24"/>
        </w:rPr>
        <w:t xml:space="preserve"> помощи;</w:t>
      </w:r>
    </w:p>
    <w:p w:rsidR="00E75771" w:rsidRPr="00BD3276" w:rsidRDefault="00E75771"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Pr>
          <w:sz w:val="24"/>
          <w:szCs w:val="24"/>
        </w:rPr>
        <w:t xml:space="preserve">-  се установи надхвърляне на праговете на получена </w:t>
      </w:r>
      <w:r w:rsidRPr="00E75771">
        <w:rPr>
          <w:sz w:val="24"/>
          <w:szCs w:val="24"/>
        </w:rPr>
        <w:t>Безвъзмездната финансова помощ  по проц</w:t>
      </w:r>
      <w:r>
        <w:rPr>
          <w:sz w:val="24"/>
          <w:szCs w:val="24"/>
        </w:rPr>
        <w:t>едурата, заедно с договорената</w:t>
      </w:r>
      <w:r w:rsidRPr="00E75771">
        <w:rPr>
          <w:sz w:val="24"/>
          <w:szCs w:val="24"/>
        </w:rPr>
        <w:t xml:space="preserve"> за последните седем години безвъзмездна финансова помощ по ОПРКБИ и/или ОПИК</w:t>
      </w:r>
      <w:r w:rsidR="003B329D">
        <w:rPr>
          <w:sz w:val="24"/>
          <w:szCs w:val="24"/>
        </w:rPr>
        <w:t>;</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w:t>
      </w:r>
      <w:r w:rsidRPr="00BD3276">
        <w:rPr>
          <w:rFonts w:ascii="Verdana" w:hAnsi="Verdana"/>
          <w:sz w:val="20"/>
          <w:szCs w:val="20"/>
        </w:rPr>
        <w:t>се установи несъответствие с друго изискване за допустимост, посочено в насоките за кандидатстване;</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 - кандидатът не представи информация, изискана от УО на етап договаряне</w:t>
      </w:r>
      <w:r w:rsidRPr="00BD3276">
        <w:rPr>
          <w:rFonts w:ascii="Verdana" w:hAnsi="Verdana"/>
          <w:sz w:val="20"/>
          <w:szCs w:val="20"/>
        </w:rPr>
        <w:t>.</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b/>
          <w:i/>
          <w:sz w:val="24"/>
          <w:szCs w:val="24"/>
        </w:rPr>
      </w:pPr>
      <w:r w:rsidRPr="00BD3276">
        <w:rPr>
          <w:sz w:val="24"/>
          <w:szCs w:val="24"/>
        </w:rPr>
        <w:t>В случай че след сключване на договора за предоставяне на безвъзмездна финансова помощ възникнат съмнения относно невярно декларирани данни, Управляващият орган може да провери дали бенефициентът е микро, малко</w:t>
      </w:r>
      <w:r w:rsidR="0030434F">
        <w:rPr>
          <w:sz w:val="24"/>
          <w:szCs w:val="24"/>
        </w:rPr>
        <w:t>,</w:t>
      </w:r>
      <w:r w:rsidRPr="00BD3276">
        <w:rPr>
          <w:sz w:val="24"/>
          <w:szCs w:val="24"/>
        </w:rPr>
        <w:t xml:space="preserve">средно </w:t>
      </w:r>
      <w:r w:rsidR="0030434F">
        <w:rPr>
          <w:sz w:val="24"/>
          <w:szCs w:val="24"/>
        </w:rPr>
        <w:t xml:space="preserve">или голямо </w:t>
      </w:r>
      <w:r w:rsidRPr="00BD3276">
        <w:rPr>
          <w:sz w:val="24"/>
          <w:szCs w:val="24"/>
        </w:rPr>
        <w:t>предприятие като бъдат изискани съответните подкрепящи документи, включително и по отношение на партньорите и свързаните предприятия на бенефициента.</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Преди сключването на договорите за безвъзмездна финансова помощ се извършва служебно кръстосана проверка на дейностите, предложени от потенциалните бенефициенти на помощта от ОПИК с оглед избягване на двойно финансиране на дейности.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За извършване на проверката се използва: </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а) информацията от извършена справка за двойно финансиране в ИСУН 2020;</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б)  информацията, предоставена от кандидата в проектното предложение;</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в) при съмнение за непълна или невярна информация, предоставена от кандидата, </w:t>
      </w:r>
      <w:r w:rsidR="00FD358A">
        <w:rPr>
          <w:sz w:val="24"/>
          <w:szCs w:val="24"/>
        </w:rPr>
        <w:t xml:space="preserve">се изпраща </w:t>
      </w:r>
      <w:r w:rsidRPr="00BD3276">
        <w:rPr>
          <w:sz w:val="24"/>
          <w:szCs w:val="24"/>
        </w:rPr>
        <w:t>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BA13AC" w:rsidRPr="00BD3276" w:rsidRDefault="00BA13AC" w:rsidP="005100FE">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Ако в резултат на извършената проверка, се установи наличие на двойно финансиране на проект или на дейности от проекта, Ръководителят на Управляващия орган взема мотивирано решение за отказ за предоставяне на безвъзмездна финансова помощ. </w:t>
      </w:r>
    </w:p>
    <w:p w:rsidR="00565ABD" w:rsidRDefault="00BA13AC" w:rsidP="005100FE">
      <w:pPr>
        <w:pBdr>
          <w:top w:val="single" w:sz="4" w:space="1" w:color="auto"/>
          <w:left w:val="single" w:sz="4" w:space="4" w:color="auto"/>
          <w:bottom w:val="single" w:sz="4" w:space="1" w:color="auto"/>
          <w:right w:val="single" w:sz="4" w:space="4" w:color="auto"/>
        </w:pBdr>
        <w:spacing w:after="120" w:line="240" w:lineRule="auto"/>
        <w:jc w:val="both"/>
      </w:pPr>
      <w:r w:rsidRPr="00BD3276">
        <w:rPr>
          <w:sz w:val="24"/>
          <w:szCs w:val="24"/>
        </w:rPr>
        <w:t xml:space="preserve">При сключване на </w:t>
      </w:r>
      <w:r w:rsidRPr="007065F2">
        <w:rPr>
          <w:sz w:val="24"/>
          <w:szCs w:val="24"/>
        </w:rPr>
        <w:t xml:space="preserve">договор за безвъзмездна финансова помощ, бенефициентът подписва Декларация за нередности (Приложение </w:t>
      </w:r>
      <w:r w:rsidR="00BB2A31" w:rsidRPr="007065F2">
        <w:rPr>
          <w:sz w:val="24"/>
          <w:szCs w:val="24"/>
        </w:rPr>
        <w:t>М</w:t>
      </w:r>
      <w:r w:rsidRPr="007065F2">
        <w:rPr>
          <w:sz w:val="24"/>
          <w:szCs w:val="24"/>
        </w:rPr>
        <w:t>)</w:t>
      </w:r>
      <w:r w:rsidR="00F80A76" w:rsidRPr="007065F2">
        <w:rPr>
          <w:sz w:val="24"/>
          <w:szCs w:val="24"/>
        </w:rPr>
        <w:t xml:space="preserve"> и Декларацията за съгласие данните на кандидата да бъдат предоставени от НСИ на УО по служебен път – </w:t>
      </w:r>
      <w:r w:rsidR="000257CC" w:rsidRPr="007065F2">
        <w:rPr>
          <w:sz w:val="24"/>
          <w:szCs w:val="24"/>
        </w:rPr>
        <w:t>в оригинал</w:t>
      </w:r>
      <w:r w:rsidR="00C31F15">
        <w:rPr>
          <w:sz w:val="24"/>
          <w:szCs w:val="24"/>
        </w:rPr>
        <w:t>,</w:t>
      </w:r>
      <w:r w:rsidR="000257CC" w:rsidRPr="007065F2">
        <w:rPr>
          <w:sz w:val="24"/>
          <w:szCs w:val="24"/>
        </w:rPr>
        <w:t xml:space="preserve"> </w:t>
      </w:r>
      <w:r w:rsidR="00F80A76" w:rsidRPr="007065F2">
        <w:rPr>
          <w:sz w:val="24"/>
          <w:szCs w:val="24"/>
        </w:rPr>
        <w:t xml:space="preserve">попълнена </w:t>
      </w:r>
      <w:r w:rsidR="00F80A76" w:rsidRPr="007065F2">
        <w:rPr>
          <w:sz w:val="24"/>
          <w:szCs w:val="24"/>
        </w:rPr>
        <w:lastRenderedPageBreak/>
        <w:t xml:space="preserve">по образец (Приложение </w:t>
      </w:r>
      <w:r w:rsidR="007B61B3" w:rsidRPr="007065F2">
        <w:rPr>
          <w:sz w:val="24"/>
          <w:szCs w:val="24"/>
        </w:rPr>
        <w:t>И</w:t>
      </w:r>
      <w:r w:rsidR="00F80A76" w:rsidRPr="007065F2">
        <w:rPr>
          <w:sz w:val="24"/>
          <w:szCs w:val="24"/>
        </w:rPr>
        <w:t>)</w:t>
      </w:r>
      <w:r w:rsidRPr="007065F2">
        <w:rPr>
          <w:sz w:val="24"/>
          <w:szCs w:val="24"/>
        </w:rPr>
        <w:t>. В случай че към датата на сключване на договора за предоставяне на безвъзмездна финансова помощ са настъпили промени в декларираните обстоятелства на етап кандидатстване в Декларацията за държавни помощи (Приложение Д), Декларацията за обстоятелствата по чл. 3 и чл. 4 от Закона за малките и средните предприятия (Приложение Е) и в Декларацията по чл. 9, ал. 8, т. 1 на ПМС № 107/10.05.2014  (Приложение Г), същите се попълват и представят отново.</w:t>
      </w:r>
      <w:r w:rsidR="00291FD4" w:rsidRPr="007065F2">
        <w:rPr>
          <w:sz w:val="24"/>
          <w:szCs w:val="24"/>
        </w:rPr>
        <w:t xml:space="preserve"> При подписване на договора Декларацията за нередности (Приложение </w:t>
      </w:r>
      <w:r w:rsidR="007B61B3" w:rsidRPr="007065F2">
        <w:rPr>
          <w:sz w:val="24"/>
          <w:szCs w:val="24"/>
        </w:rPr>
        <w:t>М</w:t>
      </w:r>
      <w:r w:rsidR="00291FD4" w:rsidRPr="007065F2">
        <w:rPr>
          <w:sz w:val="24"/>
          <w:szCs w:val="24"/>
        </w:rPr>
        <w:t>), Декларацията по чл. 9, ал. 8, т. 1 на ПМС № 107/10.05.2014  (Приложение Г)</w:t>
      </w:r>
      <w:r w:rsidR="007065F2" w:rsidRPr="007065F2">
        <w:rPr>
          <w:sz w:val="24"/>
          <w:szCs w:val="24"/>
        </w:rPr>
        <w:t>, Декларацията за ненарушаване на чужди права по интелектуална собственост</w:t>
      </w:r>
      <w:r w:rsidR="007065F2">
        <w:rPr>
          <w:sz w:val="24"/>
          <w:szCs w:val="24"/>
        </w:rPr>
        <w:t xml:space="preserve"> (Приложение Ж)</w:t>
      </w:r>
      <w:r w:rsidR="00291FD4" w:rsidRPr="007065F2">
        <w:rPr>
          <w:sz w:val="24"/>
          <w:szCs w:val="24"/>
        </w:rPr>
        <w:t xml:space="preserve"> и Декларацията за съгласие данните на кандидата да бъдат предоставени от НСИ на УО по служебен път – попълнена по образец (Приложение </w:t>
      </w:r>
      <w:r w:rsidR="007B61B3" w:rsidRPr="007065F2">
        <w:rPr>
          <w:sz w:val="24"/>
          <w:szCs w:val="24"/>
        </w:rPr>
        <w:t>И</w:t>
      </w:r>
      <w:r w:rsidR="00291FD4" w:rsidRPr="007065F2">
        <w:rPr>
          <w:sz w:val="24"/>
          <w:szCs w:val="24"/>
        </w:rPr>
        <w:t>) се представят</w:t>
      </w:r>
      <w:r w:rsidR="00291FD4" w:rsidRPr="00BD3276">
        <w:rPr>
          <w:sz w:val="24"/>
          <w:szCs w:val="24"/>
        </w:rPr>
        <w:t xml:space="preserve"> в оригинал и стават приложение към договора.</w:t>
      </w:r>
    </w:p>
    <w:p w:rsidR="007C60E2" w:rsidRPr="00BD3276" w:rsidRDefault="00565ABD" w:rsidP="00EB203A">
      <w:pPr>
        <w:pBdr>
          <w:top w:val="single" w:sz="4" w:space="1" w:color="auto"/>
          <w:left w:val="single" w:sz="4" w:space="4" w:color="auto"/>
          <w:bottom w:val="single" w:sz="4" w:space="1" w:color="auto"/>
          <w:right w:val="single" w:sz="4" w:space="4" w:color="auto"/>
        </w:pBdr>
        <w:spacing w:after="120" w:line="240" w:lineRule="auto"/>
        <w:jc w:val="both"/>
      </w:pPr>
      <w:r w:rsidRPr="00565ABD">
        <w:rPr>
          <w:sz w:val="24"/>
          <w:szCs w:val="24"/>
        </w:rPr>
        <w:t xml:space="preserve">д) Други документи – </w:t>
      </w:r>
      <w:r w:rsidR="003A18DC">
        <w:rPr>
          <w:sz w:val="24"/>
          <w:szCs w:val="24"/>
        </w:rPr>
        <w:t xml:space="preserve">Заявление за профил за достъп на ръководител на бенефициента до </w:t>
      </w:r>
      <w:r w:rsidR="003A18DC" w:rsidRPr="003A18DC">
        <w:rPr>
          <w:sz w:val="24"/>
          <w:szCs w:val="24"/>
        </w:rPr>
        <w:t>ИСУН 202</w:t>
      </w:r>
      <w:r w:rsidR="003A18DC">
        <w:rPr>
          <w:sz w:val="24"/>
          <w:szCs w:val="24"/>
        </w:rPr>
        <w:t xml:space="preserve">0, </w:t>
      </w:r>
      <w:r w:rsidR="006F6104" w:rsidRPr="006F6104">
        <w:rPr>
          <w:sz w:val="24"/>
          <w:szCs w:val="24"/>
        </w:rPr>
        <w:t xml:space="preserve">– Заявление за профил за достъп на </w:t>
      </w:r>
      <w:r w:rsidR="006F6104">
        <w:rPr>
          <w:sz w:val="24"/>
          <w:szCs w:val="24"/>
        </w:rPr>
        <w:t xml:space="preserve">упълномощени от бенефициента лица до ИСУН 2020. </w:t>
      </w:r>
    </w:p>
    <w:p w:rsidR="00DF7F7A" w:rsidRPr="00BD3276" w:rsidRDefault="00BA13AC" w:rsidP="006C4D1A">
      <w:pPr>
        <w:pStyle w:val="Heading3"/>
        <w:spacing w:before="120" w:after="120"/>
        <w:rPr>
          <w:sz w:val="24"/>
          <w:szCs w:val="24"/>
        </w:rPr>
      </w:pPr>
      <w:bookmarkStart w:id="38" w:name="_Toc418791469"/>
      <w:r w:rsidRPr="00BD3276">
        <w:rPr>
          <w:sz w:val="24"/>
          <w:szCs w:val="24"/>
        </w:rPr>
        <w:t>26.2</w:t>
      </w:r>
      <w:r w:rsidR="00DF7F7A" w:rsidRPr="00BD3276">
        <w:rPr>
          <w:sz w:val="24"/>
          <w:szCs w:val="24"/>
        </w:rPr>
        <w:t xml:space="preserve">. </w:t>
      </w:r>
      <w:r w:rsidR="009B3C97" w:rsidRPr="00BD3276">
        <w:rPr>
          <w:sz w:val="24"/>
          <w:szCs w:val="24"/>
        </w:rPr>
        <w:t>Техническо</w:t>
      </w:r>
      <w:r w:rsidR="00DF7F7A" w:rsidRPr="00BD3276">
        <w:rPr>
          <w:sz w:val="24"/>
          <w:szCs w:val="24"/>
        </w:rPr>
        <w:t xml:space="preserve"> изпълнение на проектите</w:t>
      </w:r>
      <w:bookmarkEnd w:id="38"/>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ЕСИФ. В случаите, когато бенефициентът е възложител по смисъла на ЗОП, при избор на изпълнител/и същият задължително прилага разпоредбите на ЗОП и актовете по прилагането му, както и указанията, заложени в </w:t>
      </w:r>
      <w:r w:rsidR="004A0A98">
        <w:rPr>
          <w:sz w:val="24"/>
          <w:szCs w:val="24"/>
        </w:rPr>
        <w:t>Р</w:t>
      </w:r>
      <w:r w:rsidRPr="00BD3276">
        <w:rPr>
          <w:sz w:val="24"/>
          <w:szCs w:val="24"/>
        </w:rPr>
        <w:t>ъководство</w:t>
      </w:r>
      <w:r w:rsidR="004A0A98">
        <w:rPr>
          <w:sz w:val="24"/>
          <w:szCs w:val="24"/>
        </w:rPr>
        <w:t>то</w:t>
      </w:r>
      <w:r w:rsidRPr="00BD3276">
        <w:rPr>
          <w:sz w:val="24"/>
          <w:szCs w:val="24"/>
        </w:rPr>
        <w:t xml:space="preserve"> за изпълнение на договори за безвъзмездна помощ по </w:t>
      </w:r>
      <w:r w:rsidR="00201B9F">
        <w:rPr>
          <w:sz w:val="24"/>
          <w:szCs w:val="24"/>
        </w:rPr>
        <w:t>ОПИК 2014-2020 (</w:t>
      </w:r>
      <w:hyperlink r:id="rId12" w:history="1">
        <w:r w:rsidR="00201B9F" w:rsidRPr="000A0538">
          <w:rPr>
            <w:rStyle w:val="Hyperlink"/>
            <w:sz w:val="24"/>
            <w:szCs w:val="24"/>
          </w:rPr>
          <w:t>www.opcompetitiveness.bg/images/filerepository/Operativno%20rukovodstvo%20OPIC.zip</w:t>
        </w:r>
      </w:hyperlink>
      <w:r w:rsidR="00201B9F">
        <w:rPr>
          <w:sz w:val="24"/>
          <w:szCs w:val="24"/>
        </w:rPr>
        <w:t xml:space="preserve">) </w:t>
      </w:r>
      <w:r w:rsidRPr="00BD3276">
        <w:rPr>
          <w:sz w:val="24"/>
          <w:szCs w:val="24"/>
        </w:rPr>
        <w:t xml:space="preserve">. В случаите, когато бенефициентът не е възложител по смисъла на ЗОП, при избор на изпълнител/и, бенефициентът задължително прилага разпоредбите на ПМС № 118/20.05.2014 за условията и реда за определяне на изпълнител от страна на бенефициенти на безвъзмездна финансова помощ от Европейския фонд за регионално развитие, Европейския социален фонд, Кохезионния фонд, Европейския фонд за морско дело и рибарство, Финансовия механизъм на Европейското икономическо пространство и Норвежкия финансов механизъм, както и указанията, заложени в  </w:t>
      </w:r>
      <w:r w:rsidR="00B0644B">
        <w:rPr>
          <w:sz w:val="24"/>
          <w:szCs w:val="24"/>
        </w:rPr>
        <w:t>Р</w:t>
      </w:r>
      <w:r w:rsidRPr="00BD3276">
        <w:rPr>
          <w:sz w:val="24"/>
          <w:szCs w:val="24"/>
        </w:rPr>
        <w:t>ъководство</w:t>
      </w:r>
      <w:r w:rsidR="00B0644B">
        <w:rPr>
          <w:sz w:val="24"/>
          <w:szCs w:val="24"/>
        </w:rPr>
        <w:t>то</w:t>
      </w:r>
      <w:r w:rsidRPr="00BD3276">
        <w:rPr>
          <w:sz w:val="24"/>
          <w:szCs w:val="24"/>
        </w:rPr>
        <w:t xml:space="preserve"> за изпълнение на договори за безвъзмездна помощ. </w:t>
      </w:r>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При подаване на междинен/финален отчет за изпълнението на проекта, Управляващият орган ще извършва задължителен последващ контрол и проверка за спазване на правилата за избор на изпълнители, като в случай че бъдат констатирани несъответствия, разходите за съответните дейности няма да бъдат признати.</w:t>
      </w:r>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В процеса на изпълнение на сключените договори за безвъзмездна финансова помощ, Управляващият орган ще осъществява предварителен контрол за спазване на правилата за избор на изпълнители от страна на бенефициента съгласно приложимото законодателство единствено в случаите, в които бенефициентът изрично е изявил желание за това.</w:t>
      </w:r>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iCs/>
          <w:sz w:val="24"/>
          <w:szCs w:val="24"/>
        </w:rPr>
      </w:pPr>
      <w:r w:rsidRPr="00BD3276">
        <w:rPr>
          <w:sz w:val="24"/>
          <w:szCs w:val="24"/>
        </w:rPr>
        <w:lastRenderedPageBreak/>
        <w:t xml:space="preserve">При подготовката на проектните предложения кандидатите следва да съобразят необходимостта от прилагане на процедури за избор на изпълнител </w:t>
      </w:r>
      <w:r w:rsidRPr="00BD3276">
        <w:rPr>
          <w:iCs/>
          <w:sz w:val="24"/>
          <w:szCs w:val="24"/>
        </w:rPr>
        <w:t>и съответно да посочат това като част от предвидените за изпълнение дейности</w:t>
      </w:r>
      <w:r w:rsidRPr="00BD3276">
        <w:rPr>
          <w:sz w:val="24"/>
          <w:szCs w:val="24"/>
        </w:rPr>
        <w:t xml:space="preserve"> </w:t>
      </w:r>
      <w:r w:rsidRPr="00BD3276">
        <w:rPr>
          <w:iCs/>
          <w:sz w:val="24"/>
          <w:szCs w:val="24"/>
        </w:rPr>
        <w:t xml:space="preserve">и да го отразят във времевия график за изпълнение на проекта във Формуляра за кандидатстване. </w:t>
      </w:r>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iCs/>
          <w:sz w:val="24"/>
          <w:szCs w:val="24"/>
        </w:rPr>
      </w:pPr>
      <w:r w:rsidRPr="00BD3276">
        <w:rPr>
          <w:iCs/>
          <w:sz w:val="24"/>
          <w:szCs w:val="24"/>
        </w:rPr>
        <w:t>При провеждане на процедурата/</w:t>
      </w:r>
      <w:proofErr w:type="spellStart"/>
      <w:r w:rsidRPr="00BD3276">
        <w:rPr>
          <w:iCs/>
          <w:sz w:val="24"/>
          <w:szCs w:val="24"/>
        </w:rPr>
        <w:t>ите</w:t>
      </w:r>
      <w:proofErr w:type="spellEnd"/>
      <w:r w:rsidRPr="00BD3276">
        <w:rPr>
          <w:iCs/>
          <w:sz w:val="24"/>
          <w:szCs w:val="24"/>
        </w:rPr>
        <w:t xml:space="preserve"> за избора на изпълнител/и, бенефициентът следва да спазва принципа на свободна и лоялна конкуренция и да прилага подходящи мерки за избягване предотвратяването, ограничаването или нарушаването на конкуренцията.</w:t>
      </w:r>
    </w:p>
    <w:p w:rsidR="008036F2" w:rsidRPr="00BD3276" w:rsidRDefault="008036F2" w:rsidP="008036F2">
      <w:pPr>
        <w:pBdr>
          <w:top w:val="single" w:sz="4" w:space="1" w:color="auto"/>
          <w:left w:val="single" w:sz="4" w:space="4" w:color="auto"/>
          <w:bottom w:val="single" w:sz="4" w:space="1" w:color="auto"/>
          <w:right w:val="single" w:sz="4" w:space="4" w:color="auto"/>
        </w:pBdr>
        <w:spacing w:after="120" w:line="240" w:lineRule="auto"/>
        <w:jc w:val="both"/>
        <w:rPr>
          <w:sz w:val="24"/>
          <w:szCs w:val="24"/>
        </w:rPr>
      </w:pPr>
      <w:r w:rsidRPr="00BD3276">
        <w:rPr>
          <w:sz w:val="24"/>
          <w:szCs w:val="24"/>
        </w:rPr>
        <w:t xml:space="preserve">По настоящата процедура за безвъзмездна помощ </w:t>
      </w:r>
      <w:r w:rsidRPr="00BD3276">
        <w:rPr>
          <w:b/>
          <w:sz w:val="24"/>
          <w:szCs w:val="24"/>
        </w:rPr>
        <w:t>няма</w:t>
      </w:r>
      <w:r w:rsidRPr="00BD3276">
        <w:rPr>
          <w:sz w:val="24"/>
          <w:szCs w:val="24"/>
        </w:rPr>
        <w:t xml:space="preserve"> ограничения относно произхода на придобиваните активи. </w:t>
      </w:r>
    </w:p>
    <w:p w:rsidR="00DF7F7A" w:rsidRPr="00DD4A5C" w:rsidRDefault="00DF7F7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Правата и задълженията, които възникват за </w:t>
      </w:r>
      <w:r w:rsidRPr="00DD4A5C">
        <w:rPr>
          <w:sz w:val="24"/>
          <w:szCs w:val="24"/>
        </w:rPr>
        <w:t xml:space="preserve">бенефициента са описани в приложения образец на Договор за безвъзмездна финансова помощ по Оперативна програма „Иновации и конкурентоспособност” 2014-2020 (Приложение </w:t>
      </w:r>
      <w:r w:rsidR="00DD4A5C" w:rsidRPr="00DD4A5C">
        <w:rPr>
          <w:sz w:val="24"/>
          <w:szCs w:val="24"/>
        </w:rPr>
        <w:t>К</w:t>
      </w:r>
      <w:r w:rsidRPr="00DD4A5C">
        <w:rPr>
          <w:sz w:val="24"/>
          <w:szCs w:val="24"/>
        </w:rPr>
        <w:t xml:space="preserve">) и Общите условия към финансираните по Оперативна програма </w:t>
      </w:r>
      <w:r w:rsidR="00BC0D7C" w:rsidRPr="00DD4A5C">
        <w:rPr>
          <w:sz w:val="24"/>
          <w:szCs w:val="24"/>
        </w:rPr>
        <w:t xml:space="preserve">„Иновации и конкурентоспособност” 2014-2020 </w:t>
      </w:r>
      <w:r w:rsidRPr="00DD4A5C">
        <w:rPr>
          <w:sz w:val="24"/>
          <w:szCs w:val="24"/>
        </w:rPr>
        <w:t>договори за безвъзмездна финан</w:t>
      </w:r>
      <w:r w:rsidR="00BC0D7C" w:rsidRPr="00DD4A5C">
        <w:rPr>
          <w:sz w:val="24"/>
          <w:szCs w:val="24"/>
        </w:rPr>
        <w:t xml:space="preserve">сова помощ (Приложение </w:t>
      </w:r>
      <w:r w:rsidR="00DD4A5C" w:rsidRPr="00DD4A5C">
        <w:rPr>
          <w:sz w:val="24"/>
          <w:szCs w:val="24"/>
        </w:rPr>
        <w:t>Л</w:t>
      </w:r>
      <w:r w:rsidRPr="00DD4A5C">
        <w:rPr>
          <w:sz w:val="24"/>
          <w:szCs w:val="24"/>
        </w:rPr>
        <w:t xml:space="preserve">). В процеса на изпълнение на проектите, бенефициентите следва да се придържат към правилата и процедурите, описани в </w:t>
      </w:r>
      <w:r w:rsidR="004A0A98">
        <w:rPr>
          <w:sz w:val="24"/>
          <w:szCs w:val="24"/>
        </w:rPr>
        <w:t>Р</w:t>
      </w:r>
      <w:r w:rsidRPr="00DD4A5C">
        <w:rPr>
          <w:sz w:val="24"/>
          <w:szCs w:val="24"/>
        </w:rPr>
        <w:t>ъководство</w:t>
      </w:r>
      <w:r w:rsidR="004A0A98">
        <w:rPr>
          <w:sz w:val="24"/>
          <w:szCs w:val="24"/>
        </w:rPr>
        <w:t>то</w:t>
      </w:r>
      <w:r w:rsidRPr="00DD4A5C">
        <w:rPr>
          <w:sz w:val="24"/>
          <w:szCs w:val="24"/>
        </w:rPr>
        <w:t xml:space="preserve"> за изпълнение на договорите за безвъзмездна финансова помощ</w:t>
      </w:r>
      <w:r w:rsidR="001112AA">
        <w:rPr>
          <w:sz w:val="24"/>
          <w:szCs w:val="24"/>
        </w:rPr>
        <w:t xml:space="preserve"> по ОПИК 2014-2020</w:t>
      </w:r>
      <w:r w:rsidRPr="00DD4A5C">
        <w:rPr>
          <w:sz w:val="24"/>
          <w:szCs w:val="24"/>
        </w:rPr>
        <w:t>.</w:t>
      </w:r>
    </w:p>
    <w:p w:rsidR="00DF7F7A" w:rsidRPr="00DD4A5C" w:rsidRDefault="00DF7F7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DD4A5C">
        <w:rPr>
          <w:sz w:val="24"/>
          <w:szCs w:val="24"/>
        </w:rPr>
        <w:t xml:space="preserve">Изпълнението на проекта, за който е поискана безвъзмездна финансова помощ, стартира веднага след </w:t>
      </w:r>
      <w:r w:rsidR="007001DF" w:rsidRPr="00DD4A5C">
        <w:rPr>
          <w:sz w:val="24"/>
          <w:szCs w:val="24"/>
        </w:rPr>
        <w:t>подписването</w:t>
      </w:r>
      <w:r w:rsidRPr="00DD4A5C">
        <w:rPr>
          <w:sz w:val="24"/>
          <w:szCs w:val="24"/>
        </w:rPr>
        <w:t xml:space="preserve"> на договора за безвъзмездна финансова помощ. Всички дейности трябва да бъдат извършени след датата на </w:t>
      </w:r>
      <w:r w:rsidR="00AF58C5" w:rsidRPr="00DD4A5C">
        <w:rPr>
          <w:sz w:val="24"/>
          <w:szCs w:val="24"/>
        </w:rPr>
        <w:t>подписване</w:t>
      </w:r>
      <w:r w:rsidRPr="00DD4A5C">
        <w:rPr>
          <w:sz w:val="24"/>
          <w:szCs w:val="24"/>
        </w:rPr>
        <w:t xml:space="preserve"> на договора за предоставяне на безвъзмездна финансова помощ и до изтичане на</w:t>
      </w:r>
      <w:r w:rsidR="00BC0D7C" w:rsidRPr="00DD4A5C">
        <w:rPr>
          <w:sz w:val="24"/>
          <w:szCs w:val="24"/>
        </w:rPr>
        <w:t xml:space="preserve"> срока за изпълнение на проекта</w:t>
      </w:r>
      <w:r w:rsidRPr="00DD4A5C">
        <w:rPr>
          <w:sz w:val="24"/>
          <w:szCs w:val="24"/>
        </w:rPr>
        <w:t>.</w:t>
      </w:r>
    </w:p>
    <w:p w:rsidR="00A138E4" w:rsidRPr="00BD3276" w:rsidRDefault="00DF7F7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DD4A5C">
        <w:rPr>
          <w:sz w:val="24"/>
          <w:szCs w:val="24"/>
        </w:rPr>
        <w:t xml:space="preserve">Всеки кандидат може да подаде сигнал за наличие на нередности и/или измами или съмнение за нередности, и/или измами при провеждане на процедурата за предоставяне на безвъзмездна помощ, и/или при изпълнение, съответно отчитане на проекта по реда и при условията, установени в чл. 4 – чл. 10 от Наредбата за определяне на процедурите за администриране на нередности по фондове и програми, съфинансирани от Европейския съюз и съгласно подписаната от него Декларация за нередности (Приложение </w:t>
      </w:r>
      <w:r w:rsidR="00DD4A5C" w:rsidRPr="00DD4A5C">
        <w:rPr>
          <w:sz w:val="24"/>
          <w:szCs w:val="24"/>
        </w:rPr>
        <w:t>М</w:t>
      </w:r>
      <w:r w:rsidRPr="00DD4A5C">
        <w:rPr>
          <w:sz w:val="24"/>
          <w:szCs w:val="24"/>
        </w:rPr>
        <w:t>).</w:t>
      </w:r>
    </w:p>
    <w:p w:rsidR="00AF2CA8" w:rsidRPr="00BD3276" w:rsidRDefault="00AF2CA8"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Ако бенефициентът не може да изпълни дейностите, заложени в договора, плащанията могат да не се извършат (цялостно или частично) в зависимост от невъзможността за изпълнение на задълженията от страна на бенефициента. </w:t>
      </w:r>
    </w:p>
    <w:p w:rsidR="00AF2CA8" w:rsidRPr="00BD3276" w:rsidRDefault="00AF2CA8"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Изменение на договора за безвъзмездна финансова помощ се извършва чрез сключване на Анекс (допълнително споразумение) към договора по взаимно съгласие на страните, с изключение на случаите и при условията, предвидени в чл. 8 от Общите условия към финансираните по </w:t>
      </w:r>
      <w:r w:rsidR="00491C23" w:rsidRPr="00BD3276">
        <w:rPr>
          <w:sz w:val="24"/>
          <w:szCs w:val="24"/>
        </w:rPr>
        <w:t xml:space="preserve">Оперативна програма „Иновации и конкурентоспособност” 2014-2020 </w:t>
      </w:r>
      <w:r w:rsidRPr="00BD3276">
        <w:rPr>
          <w:sz w:val="24"/>
          <w:szCs w:val="24"/>
        </w:rPr>
        <w:t xml:space="preserve">договори за безвъзмездна </w:t>
      </w:r>
      <w:r w:rsidRPr="0058444E">
        <w:rPr>
          <w:sz w:val="24"/>
          <w:szCs w:val="24"/>
        </w:rPr>
        <w:t>финансова помощ (</w:t>
      </w:r>
      <w:r w:rsidR="00060961" w:rsidRPr="0058444E">
        <w:rPr>
          <w:sz w:val="24"/>
          <w:szCs w:val="24"/>
        </w:rPr>
        <w:t xml:space="preserve">Приложение </w:t>
      </w:r>
      <w:r w:rsidR="0058444E" w:rsidRPr="0058444E">
        <w:rPr>
          <w:sz w:val="24"/>
          <w:szCs w:val="24"/>
        </w:rPr>
        <w:t>Л</w:t>
      </w:r>
      <w:r w:rsidRPr="0058444E">
        <w:rPr>
          <w:sz w:val="24"/>
          <w:szCs w:val="24"/>
        </w:rPr>
        <w:t xml:space="preserve"> към Насоките за кандидатстване и неразделна част от договора за предоставяне на безвъзмездна финансова помощ). Анексът към договора не може да нарушава конкурентните условия, съществуващи към момента на сключване на договора и равното третиране на бенефициентите.</w:t>
      </w:r>
      <w:r w:rsidRPr="00BD3276">
        <w:rPr>
          <w:sz w:val="24"/>
          <w:szCs w:val="24"/>
        </w:rPr>
        <w:t xml:space="preserve"> </w:t>
      </w:r>
    </w:p>
    <w:p w:rsidR="008D07A8" w:rsidRPr="00BD3276" w:rsidRDefault="00677EB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lastRenderedPageBreak/>
        <w:t>Съг</w:t>
      </w:r>
      <w:r w:rsidR="00491C23" w:rsidRPr="00BD3276">
        <w:rPr>
          <w:sz w:val="24"/>
          <w:szCs w:val="24"/>
        </w:rPr>
        <w:t>ласно правилата на Регламент 1303/2013</w:t>
      </w:r>
      <w:r w:rsidRPr="00BD3276">
        <w:rPr>
          <w:sz w:val="24"/>
          <w:szCs w:val="24"/>
        </w:rPr>
        <w:t xml:space="preserve">, </w:t>
      </w:r>
      <w:r w:rsidR="006878DC" w:rsidRPr="00BD3276">
        <w:rPr>
          <w:sz w:val="24"/>
          <w:szCs w:val="24"/>
        </w:rPr>
        <w:t xml:space="preserve">Управляващият </w:t>
      </w:r>
      <w:r w:rsidRPr="00BD3276">
        <w:rPr>
          <w:sz w:val="24"/>
          <w:szCs w:val="24"/>
        </w:rPr>
        <w:t xml:space="preserve">орган следва да извършва проверки за удостоверяване на административните, финансовите, техническите и физическите аспекти от изпълнението на проектите. Проверките могат да бъдат както административни – проверка на документи, предоставени във връзка с възстановяване на разходи, така и проверки на място за изпълнение на дейностите, заложени по проекта. Проверките от страна на </w:t>
      </w:r>
      <w:r w:rsidR="006878DC" w:rsidRPr="00BD3276">
        <w:rPr>
          <w:sz w:val="24"/>
          <w:szCs w:val="24"/>
        </w:rPr>
        <w:t xml:space="preserve">Управляващия </w:t>
      </w:r>
      <w:r w:rsidRPr="00BD3276">
        <w:rPr>
          <w:sz w:val="24"/>
          <w:szCs w:val="24"/>
        </w:rPr>
        <w:t xml:space="preserve">орган се извършват на всички проекти и/или на проекти, определени на база извадка.  </w:t>
      </w:r>
      <w:r w:rsidR="008D07A8" w:rsidRPr="00BD3276">
        <w:rPr>
          <w:sz w:val="24"/>
          <w:szCs w:val="24"/>
        </w:rPr>
        <w:t xml:space="preserve">Бенефициентът е задължен да осигури директен достъп (както по време на изпълнението на проекта, така и след неговото приключване) на представители на </w:t>
      </w:r>
      <w:r w:rsidR="006878DC" w:rsidRPr="00BD3276">
        <w:rPr>
          <w:sz w:val="24"/>
          <w:szCs w:val="24"/>
        </w:rPr>
        <w:t xml:space="preserve">Управляващия </w:t>
      </w:r>
      <w:r w:rsidR="008D07A8" w:rsidRPr="00BD3276">
        <w:rPr>
          <w:sz w:val="24"/>
          <w:szCs w:val="24"/>
        </w:rPr>
        <w:t xml:space="preserve">орган, и/или други </w:t>
      </w:r>
      <w:proofErr w:type="spellStart"/>
      <w:r w:rsidR="008D07A8" w:rsidRPr="00BD3276">
        <w:rPr>
          <w:sz w:val="24"/>
          <w:szCs w:val="24"/>
        </w:rPr>
        <w:t>одитиращи</w:t>
      </w:r>
      <w:proofErr w:type="spellEnd"/>
      <w:r w:rsidR="008D07A8" w:rsidRPr="00BD3276">
        <w:rPr>
          <w:sz w:val="24"/>
          <w:szCs w:val="24"/>
        </w:rPr>
        <w:t xml:space="preserve"> институции с цел извършването на проверка на място на резултатите от изпълнението на проекта.</w:t>
      </w:r>
    </w:p>
    <w:p w:rsidR="005E7395" w:rsidRPr="00BD3276" w:rsidRDefault="005E7395"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Бенефициентът е задължен да докладва и отчита изпълнението на проекта в съответните отчетни форми и документи, приложени към </w:t>
      </w:r>
      <w:r w:rsidR="004A0A98">
        <w:rPr>
          <w:sz w:val="24"/>
          <w:szCs w:val="24"/>
        </w:rPr>
        <w:t>Р</w:t>
      </w:r>
      <w:r w:rsidRPr="00BD3276">
        <w:rPr>
          <w:sz w:val="24"/>
          <w:szCs w:val="24"/>
        </w:rPr>
        <w:t>ъководство</w:t>
      </w:r>
      <w:r w:rsidR="004A0A98">
        <w:rPr>
          <w:sz w:val="24"/>
          <w:szCs w:val="24"/>
        </w:rPr>
        <w:t>то</w:t>
      </w:r>
      <w:r w:rsidRPr="00BD3276">
        <w:rPr>
          <w:sz w:val="24"/>
          <w:szCs w:val="24"/>
        </w:rPr>
        <w:t xml:space="preserve"> за изпълнение на договорите по </w:t>
      </w:r>
      <w:r w:rsidR="001112AA">
        <w:rPr>
          <w:sz w:val="24"/>
          <w:szCs w:val="24"/>
        </w:rPr>
        <w:t>ОПИК 2014-2020</w:t>
      </w:r>
      <w:r w:rsidRPr="00BD3276">
        <w:rPr>
          <w:sz w:val="24"/>
          <w:szCs w:val="24"/>
        </w:rPr>
        <w:t>.</w:t>
      </w:r>
    </w:p>
    <w:p w:rsidR="006316B8" w:rsidRPr="0064757A" w:rsidRDefault="00677EB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Бенефициентът трябва да води точна и редовна документация и счетоводни отчети, отразяващи изпълнението на проекта, използвайки подходяща система за </w:t>
      </w:r>
      <w:proofErr w:type="spellStart"/>
      <w:r w:rsidRPr="00BD3276">
        <w:rPr>
          <w:sz w:val="24"/>
          <w:szCs w:val="24"/>
        </w:rPr>
        <w:t>документооборот</w:t>
      </w:r>
      <w:proofErr w:type="spellEnd"/>
      <w:r w:rsidRPr="00BD3276">
        <w:rPr>
          <w:sz w:val="24"/>
          <w:szCs w:val="24"/>
        </w:rPr>
        <w:t xml:space="preserve"> и счетоводно отчитане. С всяко искане за междинно плащане, в хода на изпълнение на договора, бенефициентът е задължен да изготви и представи на </w:t>
      </w:r>
      <w:r w:rsidR="006878DC" w:rsidRPr="00BD3276">
        <w:rPr>
          <w:sz w:val="24"/>
          <w:szCs w:val="24"/>
        </w:rPr>
        <w:t xml:space="preserve">Управляващия </w:t>
      </w:r>
      <w:r w:rsidRPr="00BD3276">
        <w:rPr>
          <w:sz w:val="24"/>
          <w:szCs w:val="24"/>
        </w:rPr>
        <w:t xml:space="preserve">орган междинен технически и финансов отчети, които да съдържат необходимите приложения с пълна информация за всички аспекти на изпълнението за отчетния период. След приключването на дейностите по договора за безвъзмездна финансова помощ, бенефициентът е длъжен да изготви и представи на </w:t>
      </w:r>
      <w:r w:rsidR="006878DC" w:rsidRPr="00BD3276">
        <w:rPr>
          <w:sz w:val="24"/>
          <w:szCs w:val="24"/>
        </w:rPr>
        <w:t xml:space="preserve">Управляващия </w:t>
      </w:r>
      <w:r w:rsidRPr="00BD3276">
        <w:rPr>
          <w:sz w:val="24"/>
          <w:szCs w:val="24"/>
        </w:rPr>
        <w:t xml:space="preserve">орган финален технически и финансов отчети, съдържащи информация относно цялостното изпълнение на дейностите и постигнатите резултати. Отчетите се изготвят съгласно образците, приложени към  </w:t>
      </w:r>
      <w:r w:rsidR="004A0A98">
        <w:rPr>
          <w:sz w:val="24"/>
          <w:szCs w:val="24"/>
        </w:rPr>
        <w:t>Р</w:t>
      </w:r>
      <w:r w:rsidRPr="00BD3276">
        <w:rPr>
          <w:sz w:val="24"/>
          <w:szCs w:val="24"/>
        </w:rPr>
        <w:t>ъководство</w:t>
      </w:r>
      <w:r w:rsidR="004A0A98">
        <w:rPr>
          <w:sz w:val="24"/>
          <w:szCs w:val="24"/>
        </w:rPr>
        <w:t>то</w:t>
      </w:r>
      <w:r w:rsidRPr="00BD3276">
        <w:rPr>
          <w:sz w:val="24"/>
          <w:szCs w:val="24"/>
        </w:rPr>
        <w:t xml:space="preserve"> за изпълнение на договорите</w:t>
      </w:r>
      <w:r w:rsidR="001112AA">
        <w:rPr>
          <w:sz w:val="24"/>
          <w:szCs w:val="24"/>
        </w:rPr>
        <w:t xml:space="preserve"> </w:t>
      </w:r>
      <w:r w:rsidR="004A0A98">
        <w:rPr>
          <w:sz w:val="24"/>
          <w:szCs w:val="24"/>
        </w:rPr>
        <w:t>по ОПИК 2014-2020</w:t>
      </w:r>
      <w:r w:rsidRPr="00BD3276">
        <w:rPr>
          <w:sz w:val="24"/>
          <w:szCs w:val="24"/>
        </w:rPr>
        <w:t xml:space="preserve">. Тези отчети трябва да посочват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Отчетите следва да отразяват </w:t>
      </w:r>
      <w:r w:rsidR="007C60E2" w:rsidRPr="00BD3276">
        <w:rPr>
          <w:sz w:val="24"/>
          <w:szCs w:val="24"/>
        </w:rPr>
        <w:t xml:space="preserve">и </w:t>
      </w:r>
      <w:r w:rsidRPr="00BD3276">
        <w:rPr>
          <w:sz w:val="24"/>
          <w:szCs w:val="24"/>
        </w:rPr>
        <w:t xml:space="preserve">съответствието на дейностите с хоризонталните политики на ЕС, да описват основните проблеми, възникнали по време на изпълнението на проекта, както и как тези проблеми са </w:t>
      </w:r>
      <w:r w:rsidRPr="0064757A">
        <w:rPr>
          <w:sz w:val="24"/>
          <w:szCs w:val="24"/>
        </w:rPr>
        <w:t xml:space="preserve">били решени или причините за това да не бъдат преодолени. </w:t>
      </w:r>
    </w:p>
    <w:p w:rsidR="009A0A3B" w:rsidRPr="00BD3276" w:rsidRDefault="00E6346C" w:rsidP="007F75E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Calibri" w:eastAsia="Calibri" w:hAnsi="Calibri" w:cs="Times New Roman"/>
          <w:b/>
          <w:sz w:val="24"/>
          <w:szCs w:val="24"/>
        </w:rPr>
      </w:pPr>
      <w:r w:rsidRPr="0064757A">
        <w:rPr>
          <w:b/>
          <w:sz w:val="24"/>
          <w:szCs w:val="24"/>
        </w:rPr>
        <w:t xml:space="preserve">ВАЖНО: </w:t>
      </w:r>
      <w:r w:rsidR="00B6772D" w:rsidRPr="0064757A">
        <w:rPr>
          <w:b/>
          <w:sz w:val="24"/>
          <w:szCs w:val="24"/>
        </w:rPr>
        <w:t xml:space="preserve">По време на изпълнение на проектите </w:t>
      </w:r>
      <w:r w:rsidR="00AF58C5" w:rsidRPr="0064757A">
        <w:rPr>
          <w:b/>
          <w:sz w:val="24"/>
          <w:szCs w:val="24"/>
        </w:rPr>
        <w:t xml:space="preserve">бенефициентите </w:t>
      </w:r>
      <w:r w:rsidR="00B6772D" w:rsidRPr="0064757A">
        <w:rPr>
          <w:b/>
          <w:sz w:val="24"/>
          <w:szCs w:val="24"/>
        </w:rPr>
        <w:t xml:space="preserve">следва да съблюдават принципа на </w:t>
      </w:r>
      <w:r w:rsidR="00181F64" w:rsidRPr="0064757A">
        <w:rPr>
          <w:b/>
          <w:sz w:val="24"/>
          <w:szCs w:val="24"/>
        </w:rPr>
        <w:t>устойчивост на инвестициите като осигурят устойчивост на постигнатите резултати и след приключване изпълнението на проекта.</w:t>
      </w:r>
      <w:r w:rsidR="00677EB3" w:rsidRPr="0064757A">
        <w:rPr>
          <w:b/>
          <w:sz w:val="24"/>
          <w:szCs w:val="24"/>
        </w:rPr>
        <w:t xml:space="preserve"> </w:t>
      </w:r>
      <w:r w:rsidR="00B6169A" w:rsidRPr="0064757A">
        <w:rPr>
          <w:rFonts w:ascii="Calibri" w:eastAsia="Calibri" w:hAnsi="Calibri" w:cs="Times New Roman"/>
          <w:b/>
          <w:sz w:val="24"/>
          <w:szCs w:val="24"/>
        </w:rPr>
        <w:t>В случаите, когато в рамките на период от три приключени финансови години, следващи годината на приключване на проекта не бъде постигната най-малко 75 % от средната претеглената стойност на индикаторите за изпълнение, Управляващият орган ще изиска възстановяване на от 5% до 2</w:t>
      </w:r>
      <w:r w:rsidR="00B6169A" w:rsidRPr="0064757A">
        <w:rPr>
          <w:rFonts w:ascii="Calibri" w:eastAsia="Calibri" w:hAnsi="Calibri" w:cs="Times New Roman"/>
          <w:b/>
          <w:sz w:val="24"/>
          <w:szCs w:val="24"/>
          <w:lang w:val="en-US"/>
        </w:rPr>
        <w:t>5</w:t>
      </w:r>
      <w:r w:rsidR="00B6169A" w:rsidRPr="0064757A">
        <w:rPr>
          <w:rFonts w:ascii="Calibri" w:eastAsia="Calibri" w:hAnsi="Calibri" w:cs="Times New Roman"/>
          <w:b/>
          <w:sz w:val="24"/>
          <w:szCs w:val="24"/>
        </w:rPr>
        <w:t xml:space="preserve"> % от реално платения размер на безвъзмездната финансова помощ</w:t>
      </w:r>
      <w:r w:rsidR="00B6169A" w:rsidRPr="0064757A">
        <w:rPr>
          <w:rFonts w:ascii="Calibri" w:eastAsia="Calibri" w:hAnsi="Calibri" w:cs="Times New Roman"/>
          <w:b/>
          <w:sz w:val="24"/>
          <w:szCs w:val="24"/>
          <w:lang w:val="en-US"/>
        </w:rPr>
        <w:t xml:space="preserve"> </w:t>
      </w:r>
      <w:r w:rsidR="00B6169A" w:rsidRPr="0064757A">
        <w:rPr>
          <w:rFonts w:ascii="Calibri" w:eastAsia="Calibri" w:hAnsi="Calibri" w:cs="Times New Roman"/>
          <w:b/>
          <w:sz w:val="24"/>
          <w:szCs w:val="24"/>
        </w:rPr>
        <w:t xml:space="preserve">при условията и по реда, посочени в договора за безвъзмездна финансова помощ (Приложение </w:t>
      </w:r>
      <w:r w:rsidR="0058444E" w:rsidRPr="0064757A">
        <w:rPr>
          <w:rFonts w:ascii="Calibri" w:eastAsia="Calibri" w:hAnsi="Calibri" w:cs="Times New Roman"/>
          <w:b/>
          <w:sz w:val="24"/>
          <w:szCs w:val="24"/>
        </w:rPr>
        <w:t>К</w:t>
      </w:r>
      <w:r w:rsidR="00B6169A" w:rsidRPr="0064757A">
        <w:rPr>
          <w:rFonts w:ascii="Calibri" w:eastAsia="Calibri" w:hAnsi="Calibri" w:cs="Times New Roman"/>
          <w:b/>
          <w:sz w:val="24"/>
          <w:szCs w:val="24"/>
        </w:rPr>
        <w:t xml:space="preserve"> към настоящите Насоки за кандидатстване).</w:t>
      </w:r>
      <w:r w:rsidR="00005D80" w:rsidRPr="00BD3276">
        <w:rPr>
          <w:rFonts w:ascii="Calibri" w:eastAsia="Calibri" w:hAnsi="Calibri" w:cs="Times New Roman"/>
          <w:b/>
          <w:sz w:val="24"/>
          <w:szCs w:val="24"/>
        </w:rPr>
        <w:t xml:space="preserve"> </w:t>
      </w:r>
    </w:p>
    <w:p w:rsidR="00B6169A" w:rsidRPr="00BD3276" w:rsidRDefault="00005D80" w:rsidP="007F75E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b/>
          <w:sz w:val="24"/>
          <w:szCs w:val="24"/>
          <w:lang w:val="en-US"/>
        </w:rPr>
      </w:pPr>
      <w:r w:rsidRPr="00BD3276">
        <w:rPr>
          <w:rFonts w:ascii="Calibri" w:eastAsia="Calibri" w:hAnsi="Calibri" w:cs="Times New Roman"/>
          <w:sz w:val="24"/>
          <w:szCs w:val="24"/>
        </w:rPr>
        <w:t xml:space="preserve">Пример за изчисляване на финансовите корекции, в резултат от неизпълнение на заложените индикатори по проекта може да бъде намерен в </w:t>
      </w:r>
      <w:r w:rsidRPr="0058444E">
        <w:rPr>
          <w:rFonts w:ascii="Calibri" w:eastAsia="Calibri" w:hAnsi="Calibri" w:cs="Times New Roman"/>
          <w:sz w:val="24"/>
          <w:szCs w:val="24"/>
        </w:rPr>
        <w:t xml:space="preserve">Приложение </w:t>
      </w:r>
      <w:r w:rsidR="0058444E" w:rsidRPr="0058444E">
        <w:rPr>
          <w:rFonts w:ascii="Calibri" w:eastAsia="Calibri" w:hAnsi="Calibri" w:cs="Times New Roman"/>
          <w:sz w:val="24"/>
          <w:szCs w:val="24"/>
        </w:rPr>
        <w:t>Ч</w:t>
      </w:r>
      <w:r w:rsidRPr="0058444E">
        <w:rPr>
          <w:rFonts w:ascii="Calibri" w:eastAsia="Calibri" w:hAnsi="Calibri" w:cs="Times New Roman"/>
          <w:sz w:val="24"/>
          <w:szCs w:val="24"/>
        </w:rPr>
        <w:t>.</w:t>
      </w:r>
    </w:p>
    <w:p w:rsidR="00677EB3" w:rsidRPr="00BD3276" w:rsidRDefault="00677EB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lastRenderedPageBreak/>
        <w:t xml:space="preserve">Допълнително, в хода на изпълнение на проекта, Ръководителят на </w:t>
      </w:r>
      <w:r w:rsidR="00AF58C5" w:rsidRPr="00BD3276">
        <w:rPr>
          <w:sz w:val="24"/>
          <w:szCs w:val="24"/>
        </w:rPr>
        <w:t xml:space="preserve">Управляващия </w:t>
      </w:r>
      <w:r w:rsidRPr="00BD3276">
        <w:rPr>
          <w:sz w:val="24"/>
          <w:szCs w:val="24"/>
        </w:rPr>
        <w:t>орган, може да изиска от бенефициента да предостави доклади и/или допълнителна информация относно напредъка, постигнат по проекта.</w:t>
      </w:r>
    </w:p>
    <w:p w:rsidR="00A63DFC" w:rsidRPr="00BD3276" w:rsidRDefault="00677EB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Всички писмени инструкции и указания на Ръководителя на </w:t>
      </w:r>
      <w:r w:rsidR="00AF58C5" w:rsidRPr="00BD3276">
        <w:rPr>
          <w:sz w:val="24"/>
          <w:szCs w:val="24"/>
        </w:rPr>
        <w:t xml:space="preserve">Управляващия </w:t>
      </w:r>
      <w:r w:rsidRPr="00BD3276">
        <w:rPr>
          <w:sz w:val="24"/>
          <w:szCs w:val="24"/>
        </w:rPr>
        <w:t>орган, свързани с изпълнението на проекта, включително такива, предоставяни след влизането в сила на договора за безвъзмездна финансова помощ, имат задължителен характер за бенефициентите по настоящата процедура за предоставяне на безвъзмездна финансова помощ.</w:t>
      </w:r>
    </w:p>
    <w:p w:rsidR="00A63DFC" w:rsidRPr="00BD3276" w:rsidRDefault="00BF63A6" w:rsidP="000C1D25">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b/>
          <w:sz w:val="24"/>
          <w:szCs w:val="24"/>
        </w:rPr>
      </w:pPr>
      <w:r w:rsidRPr="00BD3276">
        <w:rPr>
          <w:sz w:val="24"/>
          <w:szCs w:val="24"/>
        </w:rPr>
        <w:t>Съгласно чл. 12 от Регламент на Комисията (ЕС) № 651/2014 в</w:t>
      </w:r>
      <w:r w:rsidR="00F71BB6" w:rsidRPr="00BD3276">
        <w:rPr>
          <w:sz w:val="24"/>
          <w:szCs w:val="24"/>
        </w:rPr>
        <w:t>сички документи</w:t>
      </w:r>
      <w:r w:rsidRPr="00BD3276">
        <w:rPr>
          <w:sz w:val="24"/>
          <w:szCs w:val="24"/>
        </w:rPr>
        <w:t xml:space="preserve">, които са необходими, за да се установи спазването на всички условия, определени в същия регламент </w:t>
      </w:r>
      <w:r w:rsidR="00F71BB6" w:rsidRPr="00BD3276">
        <w:rPr>
          <w:sz w:val="24"/>
          <w:szCs w:val="24"/>
        </w:rPr>
        <w:t xml:space="preserve">следва да се съхраняват за срок </w:t>
      </w:r>
      <w:r w:rsidR="00F71BB6" w:rsidRPr="00BD3276">
        <w:t>10 години от датата на предоставяне на последната помощ по схемата</w:t>
      </w:r>
      <w:r w:rsidRPr="00BD3276">
        <w:t>.</w:t>
      </w:r>
      <w:r w:rsidR="004E5564" w:rsidRPr="00BD3276">
        <w:t xml:space="preserve"> За целите на настоящата процедура за дата на предоставяне на помощта по смисъла на чл. 2, </w:t>
      </w:r>
      <w:proofErr w:type="spellStart"/>
      <w:r w:rsidR="004E5564" w:rsidRPr="00BD3276">
        <w:t>пар</w:t>
      </w:r>
      <w:proofErr w:type="spellEnd"/>
      <w:r w:rsidR="004E5564" w:rsidRPr="00BD3276">
        <w:t xml:space="preserve">. 28 от </w:t>
      </w:r>
      <w:r w:rsidR="004E5564" w:rsidRPr="00BD3276">
        <w:rPr>
          <w:sz w:val="24"/>
          <w:szCs w:val="24"/>
        </w:rPr>
        <w:t>Регламент на Комисията (ЕС) № 651/2014 се счита датата на сключване на договора за безвъзмездна финансова помощ.</w:t>
      </w:r>
    </w:p>
    <w:p w:rsidR="00A63DFC" w:rsidRPr="00BD3276" w:rsidRDefault="001F742C" w:rsidP="006C4D1A">
      <w:pPr>
        <w:pStyle w:val="Heading3"/>
        <w:spacing w:before="120" w:after="120"/>
        <w:rPr>
          <w:sz w:val="24"/>
          <w:szCs w:val="24"/>
        </w:rPr>
      </w:pPr>
      <w:bookmarkStart w:id="39" w:name="_Toc418791470"/>
      <w:r w:rsidRPr="00BD3276">
        <w:rPr>
          <w:sz w:val="24"/>
          <w:szCs w:val="24"/>
        </w:rPr>
        <w:t>26.3</w:t>
      </w:r>
      <w:r w:rsidR="00641362" w:rsidRPr="00BD3276">
        <w:rPr>
          <w:sz w:val="24"/>
          <w:szCs w:val="24"/>
        </w:rPr>
        <w:t xml:space="preserve">. </w:t>
      </w:r>
      <w:r w:rsidR="009B3C97" w:rsidRPr="00BD3276">
        <w:rPr>
          <w:sz w:val="24"/>
          <w:szCs w:val="24"/>
        </w:rPr>
        <w:t>Финансово изпълнение на проектите и плащане</w:t>
      </w:r>
      <w:bookmarkEnd w:id="39"/>
    </w:p>
    <w:p w:rsidR="00D83CAA" w:rsidRPr="00BD3276" w:rsidRDefault="00D83CA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Всички допустими разходи (надлежно доказани със съответната фактура или друг счетоводен документ с еквивалентна </w:t>
      </w:r>
      <w:proofErr w:type="spellStart"/>
      <w:r w:rsidRPr="00BD3276">
        <w:rPr>
          <w:sz w:val="24"/>
          <w:szCs w:val="24"/>
        </w:rPr>
        <w:t>доказателствена</w:t>
      </w:r>
      <w:proofErr w:type="spellEnd"/>
      <w:r w:rsidRPr="00BD3276">
        <w:rPr>
          <w:sz w:val="24"/>
          <w:szCs w:val="24"/>
        </w:rPr>
        <w:t xml:space="preserve"> стойност), могат да бъдат представени за плащане само веднъж – т.е. разходите, за които е поискана безвъзмездна финансова помощ, не могат да бъдат предоставяни за плащане към други източници.</w:t>
      </w:r>
    </w:p>
    <w:p w:rsidR="00D83CAA" w:rsidRPr="006179B8" w:rsidRDefault="00D83CA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Бенефициентът е задължен да поддържа отделна аналитична сметка/</w:t>
      </w:r>
      <w:proofErr w:type="spellStart"/>
      <w:r w:rsidRPr="00BD3276">
        <w:rPr>
          <w:sz w:val="24"/>
          <w:szCs w:val="24"/>
        </w:rPr>
        <w:t>подсметка</w:t>
      </w:r>
      <w:proofErr w:type="spellEnd"/>
      <w:r w:rsidRPr="00BD3276">
        <w:rPr>
          <w:sz w:val="24"/>
          <w:szCs w:val="24"/>
        </w:rPr>
        <w:t xml:space="preserve"> и счетоводна документация за допустимите разходи по проекта и използването на средствата от безвъзмездната финансова помощ. За повече информация относно сертифициране на разходите вижте Указания на Министерство на финансите ДНФ № 2/01.07.2014 г. относно сертифициране на разходите по </w:t>
      </w:r>
      <w:proofErr w:type="spellStart"/>
      <w:r w:rsidRPr="00BD3276">
        <w:rPr>
          <w:sz w:val="24"/>
          <w:szCs w:val="24"/>
        </w:rPr>
        <w:t>oперативни</w:t>
      </w:r>
      <w:proofErr w:type="spellEnd"/>
      <w:r w:rsidRPr="00BD3276">
        <w:rPr>
          <w:sz w:val="24"/>
          <w:szCs w:val="24"/>
        </w:rPr>
        <w:t xml:space="preserve"> програми, съфинансирани от Европейския фонд за регионално развитие, Европейския социален фонд, </w:t>
      </w:r>
      <w:r w:rsidRPr="006179B8">
        <w:rPr>
          <w:sz w:val="24"/>
          <w:szCs w:val="24"/>
        </w:rPr>
        <w:t>Кохезионния фонд, Инициативата за младежка заетост и Фонда за европейско подпомагане на най-нуждаещите се лица на Европейския съюз за финансовата ра</w:t>
      </w:r>
      <w:r w:rsidR="00060961" w:rsidRPr="006179B8">
        <w:rPr>
          <w:sz w:val="24"/>
          <w:szCs w:val="24"/>
        </w:rPr>
        <w:t xml:space="preserve">мка 2014 - 2020 г. (Приложение </w:t>
      </w:r>
      <w:r w:rsidR="006179B8" w:rsidRPr="006179B8">
        <w:rPr>
          <w:sz w:val="24"/>
          <w:szCs w:val="24"/>
        </w:rPr>
        <w:t>Р</w:t>
      </w:r>
      <w:r w:rsidRPr="006179B8">
        <w:rPr>
          <w:sz w:val="24"/>
          <w:szCs w:val="24"/>
        </w:rPr>
        <w:t xml:space="preserve"> към Насоките за кандидатстване).</w:t>
      </w:r>
    </w:p>
    <w:p w:rsidR="00D83CAA" w:rsidRPr="00BD3276" w:rsidRDefault="00D83CA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6179B8">
        <w:rPr>
          <w:sz w:val="24"/>
          <w:szCs w:val="24"/>
        </w:rPr>
        <w:t xml:space="preserve">В съответствие с Указание </w:t>
      </w:r>
      <w:r w:rsidR="0004194F" w:rsidRPr="006179B8">
        <w:rPr>
          <w:sz w:val="24"/>
          <w:szCs w:val="24"/>
        </w:rPr>
        <w:t>№ НФ-5/28.07.2014 г</w:t>
      </w:r>
      <w:r w:rsidRPr="006179B8">
        <w:rPr>
          <w:sz w:val="24"/>
          <w:szCs w:val="24"/>
        </w:rPr>
        <w:t>. на министъра на финансите относно третиране на данък върху добавената стойност като допустим разход, бенефициентите са отговорни за администриране на процеса на определяне на данък върху добавената стойност като допустим разход. ПМС № 119/20.05.2014 г. въвежда понятието „възстановим данък добавена стойност” и го определя като недопустим разход за съфинансиране от оперативните програми. Бенефициентите са длъжни да следват Указанията на министъра на фина</w:t>
      </w:r>
      <w:r w:rsidR="00C84726" w:rsidRPr="006179B8">
        <w:rPr>
          <w:sz w:val="24"/>
          <w:szCs w:val="24"/>
        </w:rPr>
        <w:t xml:space="preserve">нсите (Приложение </w:t>
      </w:r>
      <w:r w:rsidR="006179B8" w:rsidRPr="006179B8">
        <w:rPr>
          <w:sz w:val="24"/>
          <w:szCs w:val="24"/>
        </w:rPr>
        <w:t>П</w:t>
      </w:r>
      <w:r w:rsidRPr="006179B8">
        <w:rPr>
          <w:sz w:val="24"/>
          <w:szCs w:val="24"/>
        </w:rPr>
        <w:t xml:space="preserve"> към настоящите Насоки за кандидатстване) за определянето на ДДС като „възстановим” и следователно</w:t>
      </w:r>
      <w:r w:rsidRPr="00BD3276">
        <w:rPr>
          <w:sz w:val="24"/>
          <w:szCs w:val="24"/>
        </w:rPr>
        <w:t xml:space="preserve"> недопустим разход по ОПИК и настоящата процедура, или като „невъзстановим” и следователно допустим разход по ОПИК и настоящата процедура при оформянето на исканията за плащане, документалната отчетност, както и всички други свои задължения по Указанията във връзка с получаване на средства по настоящата процедура.</w:t>
      </w:r>
    </w:p>
    <w:p w:rsidR="00D83CAA" w:rsidRPr="00BD3276" w:rsidRDefault="00B0297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Максималният размер на безвъзмездната финансова помощ задължително се фиксира в договора за безвъзмездна финансова помощ. Фиксираният в договора размер на </w:t>
      </w:r>
      <w:r w:rsidRPr="00BD3276">
        <w:rPr>
          <w:sz w:val="24"/>
          <w:szCs w:val="24"/>
        </w:rPr>
        <w:lastRenderedPageBreak/>
        <w:t>безвъзмездната финансова помощ се основава на бюджета, който е предварителна оценка на размера на допустимите разходи, необходими за изпълнението на проекта. Фиксираният в договора размер на безвъзмездната финансова помощ е окончателен, но действителният размер на подлежащата на изплащане помощ се определя след приключване на всички допустими дейности по проекта и зависи от тяхното надлежно удостоверяване и одобряване на действително извършените разходи.</w:t>
      </w:r>
    </w:p>
    <w:p w:rsidR="002C6950" w:rsidRPr="00BD3276" w:rsidRDefault="002C6950"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Недопустими са промени в бюджета на договора, водещи до увеличаване на първоначално договорения процент и размер на безвъзмездната финансова помощ по договора и/или водещи до превишаване на средствата по бюджетни пера, за които има определен в Насоките за кандидатстване максимален размер/процент.  </w:t>
      </w:r>
    </w:p>
    <w:p w:rsidR="008843D4" w:rsidRPr="00BD3276" w:rsidRDefault="008843D4"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По настоящата процедура за предоставяне на безвъзмездна финансова помощ се предвиждат 3 варианта на плащане, както следва:</w:t>
      </w:r>
    </w:p>
    <w:p w:rsidR="008843D4" w:rsidRPr="00BD3276" w:rsidRDefault="008843D4" w:rsidP="008843D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843D4" w:rsidRPr="00BD3276" w:rsidRDefault="008843D4" w:rsidP="008843D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Вариант 1</w:t>
      </w:r>
      <w:r w:rsidRPr="00BD3276">
        <w:rPr>
          <w:sz w:val="24"/>
          <w:szCs w:val="24"/>
        </w:rPr>
        <w:t xml:space="preserve"> (с авансово плащане, междинни и окончателно плащане): </w:t>
      </w:r>
    </w:p>
    <w:p w:rsidR="008843D4" w:rsidRPr="00BD3276" w:rsidRDefault="008843D4"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Бенефициентите по настоящата процедура имат право да получат авансово плащане като представят искане за плащане по договор за безвъзмездна финансова помощ (Приложение </w:t>
      </w:r>
      <w:r w:rsidR="006179B8">
        <w:rPr>
          <w:sz w:val="24"/>
          <w:szCs w:val="24"/>
        </w:rPr>
        <w:t>Н</w:t>
      </w:r>
      <w:r w:rsidRPr="00BD3276">
        <w:rPr>
          <w:sz w:val="24"/>
          <w:szCs w:val="24"/>
        </w:rPr>
        <w:t xml:space="preserve">). Авансовото плащане може да бъде в размер до </w:t>
      </w:r>
      <w:r w:rsidR="00051573" w:rsidRPr="00BD3276">
        <w:rPr>
          <w:sz w:val="24"/>
          <w:szCs w:val="24"/>
        </w:rPr>
        <w:t>40</w:t>
      </w:r>
      <w:r w:rsidRPr="00BD3276">
        <w:rPr>
          <w:sz w:val="24"/>
          <w:szCs w:val="24"/>
        </w:rPr>
        <w:t xml:space="preserve">% от общия размер на безвъзмездната финансова помощ. Условие за неговото извършване е предоставянето от страна на </w:t>
      </w:r>
      <w:r w:rsidRPr="006179B8">
        <w:rPr>
          <w:sz w:val="24"/>
          <w:szCs w:val="24"/>
        </w:rPr>
        <w:t xml:space="preserve">бенефициента </w:t>
      </w:r>
      <w:proofErr w:type="spellStart"/>
      <w:r w:rsidRPr="006179B8">
        <w:rPr>
          <w:sz w:val="24"/>
          <w:szCs w:val="24"/>
        </w:rPr>
        <w:t>на</w:t>
      </w:r>
      <w:r w:rsidR="0010045D">
        <w:rPr>
          <w:sz w:val="24"/>
          <w:szCs w:val="24"/>
        </w:rPr>
        <w:t>Б</w:t>
      </w:r>
      <w:r w:rsidRPr="006179B8">
        <w:rPr>
          <w:sz w:val="24"/>
          <w:szCs w:val="24"/>
        </w:rPr>
        <w:t>анкова</w:t>
      </w:r>
      <w:proofErr w:type="spellEnd"/>
      <w:r w:rsidRPr="006179B8">
        <w:rPr>
          <w:sz w:val="24"/>
          <w:szCs w:val="24"/>
        </w:rPr>
        <w:t xml:space="preserve"> гаранция (Приложение </w:t>
      </w:r>
      <w:r w:rsidR="006179B8" w:rsidRPr="006179B8">
        <w:rPr>
          <w:sz w:val="24"/>
          <w:szCs w:val="24"/>
        </w:rPr>
        <w:t>О</w:t>
      </w:r>
      <w:r w:rsidRPr="006179B8">
        <w:rPr>
          <w:sz w:val="24"/>
          <w:szCs w:val="24"/>
        </w:rPr>
        <w:t>) покриваща пълния размер на исканата авансова сума</w:t>
      </w:r>
      <w:r w:rsidRPr="00BD3276">
        <w:rPr>
          <w:sz w:val="24"/>
          <w:szCs w:val="24"/>
        </w:rPr>
        <w:t xml:space="preserve"> и Финансова идентификационна форма (съгласно образеца, приложен към </w:t>
      </w:r>
      <w:r w:rsidR="00B0644B">
        <w:rPr>
          <w:sz w:val="24"/>
          <w:szCs w:val="24"/>
        </w:rPr>
        <w:t>Р</w:t>
      </w:r>
      <w:r w:rsidRPr="00BD3276">
        <w:rPr>
          <w:sz w:val="24"/>
          <w:szCs w:val="24"/>
        </w:rPr>
        <w:t>ъководство</w:t>
      </w:r>
      <w:r w:rsidR="00B0644B">
        <w:rPr>
          <w:sz w:val="24"/>
          <w:szCs w:val="24"/>
        </w:rPr>
        <w:t>то</w:t>
      </w:r>
      <w:r w:rsidRPr="00BD3276">
        <w:rPr>
          <w:sz w:val="24"/>
          <w:szCs w:val="24"/>
        </w:rPr>
        <w:t xml:space="preserve"> за изпълнение на договорите по процедурата). </w:t>
      </w:r>
    </w:p>
    <w:p w:rsidR="008843D4" w:rsidRPr="00BD3276" w:rsidRDefault="008843D4"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След представяне на посочените документи </w:t>
      </w:r>
      <w:r w:rsidR="006878DC" w:rsidRPr="00BD3276">
        <w:rPr>
          <w:sz w:val="24"/>
          <w:szCs w:val="24"/>
        </w:rPr>
        <w:t xml:space="preserve">Управляващия </w:t>
      </w:r>
      <w:r w:rsidRPr="00BD3276">
        <w:rPr>
          <w:sz w:val="24"/>
          <w:szCs w:val="24"/>
        </w:rPr>
        <w:t xml:space="preserve">орган превежда размера на авансовото плащане по банкова сметка на бенефициента, открита за целите на проекта. Бенефициентът може да използва средствата по тази сметка съгласно условията, определени в договора за откриването й. </w:t>
      </w:r>
      <w:r w:rsidR="00A5168A" w:rsidRPr="00BD3276">
        <w:rPr>
          <w:sz w:val="24"/>
          <w:szCs w:val="24"/>
        </w:rPr>
        <w:t xml:space="preserve">Бенефициентът има право на междинни плащания. </w:t>
      </w:r>
      <w:r w:rsidRPr="00BD3276">
        <w:rPr>
          <w:sz w:val="24"/>
          <w:szCs w:val="24"/>
        </w:rPr>
        <w:t xml:space="preserve">За да получи исканата сума, бенефициентът трябва да представи </w:t>
      </w:r>
      <w:proofErr w:type="spellStart"/>
      <w:r w:rsidRPr="00BD3276">
        <w:rPr>
          <w:sz w:val="24"/>
          <w:szCs w:val="24"/>
        </w:rPr>
        <w:t>доказателствени</w:t>
      </w:r>
      <w:proofErr w:type="spellEnd"/>
      <w:r w:rsidRPr="00BD3276">
        <w:rPr>
          <w:sz w:val="24"/>
          <w:szCs w:val="24"/>
        </w:rPr>
        <w:t xml:space="preserve"> документи, които удостоверяват изпълнението на отчитаните дейности/действия и изразходването на средствата. Документите се проверяват, разходите се верифицират и на бенефициента се изплаща тази част от изразходваните средства, която отговаря на процента на безвъзмездната финансова помощ, посочен в договора. </w:t>
      </w:r>
    </w:p>
    <w:p w:rsidR="008843D4" w:rsidRPr="00BD3276" w:rsidRDefault="008843D4"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Общият размер на авансовото и междинните п</w:t>
      </w:r>
      <w:r w:rsidR="0062410C" w:rsidRPr="00BD3276">
        <w:rPr>
          <w:sz w:val="24"/>
          <w:szCs w:val="24"/>
        </w:rPr>
        <w:t>лащания не може да надхвърля 95</w:t>
      </w:r>
      <w:r w:rsidRPr="00BD3276">
        <w:rPr>
          <w:sz w:val="24"/>
          <w:szCs w:val="24"/>
        </w:rPr>
        <w:t xml:space="preserve">% от стойността на безвъзмездната финансова помощ. </w:t>
      </w:r>
    </w:p>
    <w:p w:rsidR="008843D4" w:rsidRPr="00BD3276" w:rsidRDefault="008843D4" w:rsidP="00465CB7">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Размерът на окончателното плащане се изчислява след приключване на проекта, одобряване на финалния технически и финансов отчет, като се приспаднат сумите по отпуснатите авансови и междинни плащания. </w:t>
      </w:r>
    </w:p>
    <w:p w:rsidR="00B02976" w:rsidRPr="00BD3276" w:rsidRDefault="008843D4" w:rsidP="008843D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Заявяването на авансово плащане от страна на бенефициентите не е задължително.</w:t>
      </w:r>
    </w:p>
    <w:p w:rsidR="00A63DFC" w:rsidRPr="00BD3276" w:rsidRDefault="00A63DFC" w:rsidP="002D4B6A">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2B4203" w:rsidRPr="00BD3276" w:rsidRDefault="002B4203" w:rsidP="002B420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Вариант 2</w:t>
      </w:r>
      <w:r w:rsidRPr="00BD3276">
        <w:rPr>
          <w:sz w:val="24"/>
          <w:szCs w:val="24"/>
        </w:rPr>
        <w:t xml:space="preserve"> (само междинни плащания и окончателно плащане): </w:t>
      </w:r>
    </w:p>
    <w:p w:rsidR="002B4203" w:rsidRPr="00BD3276" w:rsidRDefault="002B4203" w:rsidP="002B420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В този случай бенефициентът първоначално заплаща всички разходи по изпълнение на проекта за определен период. За да получи исканата сума за междинно плащане, бенефициентът трябва да представи за одобрение междинен технически и финансов </w:t>
      </w:r>
      <w:r w:rsidRPr="00BD3276">
        <w:rPr>
          <w:sz w:val="24"/>
          <w:szCs w:val="24"/>
        </w:rPr>
        <w:lastRenderedPageBreak/>
        <w:t xml:space="preserve">отчет. Отчетът трябва да съдържа </w:t>
      </w:r>
      <w:proofErr w:type="spellStart"/>
      <w:r w:rsidRPr="00BD3276">
        <w:rPr>
          <w:sz w:val="24"/>
          <w:szCs w:val="24"/>
        </w:rPr>
        <w:t>доказателствени</w:t>
      </w:r>
      <w:proofErr w:type="spellEnd"/>
      <w:r w:rsidRPr="00BD3276">
        <w:rPr>
          <w:sz w:val="24"/>
          <w:szCs w:val="24"/>
        </w:rPr>
        <w:t xml:space="preserve"> документи, които удостоверяват изпълнението на отчитаните дейности/действия и изразходването на средствата (съгласно образците, приложени към </w:t>
      </w:r>
      <w:r w:rsidR="00B0644B">
        <w:rPr>
          <w:sz w:val="24"/>
          <w:szCs w:val="24"/>
        </w:rPr>
        <w:t>Р</w:t>
      </w:r>
      <w:r w:rsidRPr="00BD3276">
        <w:rPr>
          <w:sz w:val="24"/>
          <w:szCs w:val="24"/>
        </w:rPr>
        <w:t>ъководство</w:t>
      </w:r>
      <w:r w:rsidR="00B0644B">
        <w:rPr>
          <w:sz w:val="24"/>
          <w:szCs w:val="24"/>
        </w:rPr>
        <w:t>то</w:t>
      </w:r>
      <w:r w:rsidRPr="00BD3276">
        <w:rPr>
          <w:sz w:val="24"/>
          <w:szCs w:val="24"/>
        </w:rPr>
        <w:t xml:space="preserve"> за изпълнение на договорите по процедурата). Документите се проверяват, разходите се верифицират и на Бенефициента се изплаща тази част от изразходваните средства, която отговаря на процента на безвъзмездна финансова помощ, посочена в договора. Общият размер на междинните плащания не може да надхвърля 95% от стойността на безвъзмездната финансова помощ. Размерът на окончателното плащане се изчислява след приключване на проекта, одобряване на финалния технически и финансов отчет като се приспаднат сумите по отпуснатите междинни плащания. </w:t>
      </w:r>
    </w:p>
    <w:p w:rsidR="0062410C" w:rsidRPr="00BD3276" w:rsidRDefault="0062410C" w:rsidP="002D4B6A">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2D7B16" w:rsidRPr="00BD3276" w:rsidRDefault="002D7B16" w:rsidP="002D7B16">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b/>
          <w:sz w:val="24"/>
          <w:szCs w:val="24"/>
        </w:rPr>
        <w:t>Вариант 3</w:t>
      </w:r>
      <w:r w:rsidRPr="00BD3276">
        <w:rPr>
          <w:sz w:val="24"/>
          <w:szCs w:val="24"/>
        </w:rPr>
        <w:t xml:space="preserve"> (само окончателно плащане):  </w:t>
      </w:r>
    </w:p>
    <w:p w:rsidR="002D7B16" w:rsidRPr="00BD3276" w:rsidRDefault="002D7B1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Окончателното плащане в размер на общата стойност на безвъзмездната финансова помощ, изчислена като се приложи процента, посочен в чл. </w:t>
      </w:r>
      <w:r w:rsidR="002C7445" w:rsidRPr="00BD3276">
        <w:rPr>
          <w:sz w:val="24"/>
          <w:szCs w:val="24"/>
        </w:rPr>
        <w:t xml:space="preserve">3.2 </w:t>
      </w:r>
      <w:r w:rsidRPr="00BD3276">
        <w:rPr>
          <w:sz w:val="24"/>
          <w:szCs w:val="24"/>
        </w:rPr>
        <w:t xml:space="preserve">от Договора за безвъзмездна финансова помощ към общите верифицирани разходи. То се извършва след одобрението на финалния отчет, в съответствие с чл. </w:t>
      </w:r>
      <w:r w:rsidR="00350D24" w:rsidRPr="00BD3276">
        <w:rPr>
          <w:sz w:val="24"/>
          <w:szCs w:val="24"/>
        </w:rPr>
        <w:t xml:space="preserve">2.6 </w:t>
      </w:r>
      <w:r w:rsidRPr="00BD3276">
        <w:rPr>
          <w:sz w:val="24"/>
          <w:szCs w:val="24"/>
        </w:rPr>
        <w:t xml:space="preserve">и чл. </w:t>
      </w:r>
      <w:r w:rsidR="00350D24" w:rsidRPr="00BD3276">
        <w:rPr>
          <w:sz w:val="24"/>
          <w:szCs w:val="24"/>
        </w:rPr>
        <w:t xml:space="preserve">2.7 </w:t>
      </w:r>
      <w:r w:rsidRPr="00BD3276">
        <w:rPr>
          <w:sz w:val="24"/>
          <w:szCs w:val="24"/>
        </w:rPr>
        <w:t xml:space="preserve">от Общите условия към финансираните по Оперативна програма „Иновации и конкурентоспособност“ договори, придружен с искане за плащане, подадено по образец в срока и при условията </w:t>
      </w:r>
      <w:r w:rsidR="00350D24" w:rsidRPr="00BD3276">
        <w:rPr>
          <w:sz w:val="24"/>
          <w:szCs w:val="24"/>
        </w:rPr>
        <w:t>на ДНФ № 1/01.07.2014 и ДНФ № 2/01.07.2014 г.</w:t>
      </w:r>
      <w:r w:rsidRPr="00BD3276">
        <w:rPr>
          <w:sz w:val="24"/>
          <w:szCs w:val="24"/>
        </w:rPr>
        <w:t xml:space="preserve">. </w:t>
      </w:r>
    </w:p>
    <w:p w:rsidR="002D7B16" w:rsidRPr="00BD3276" w:rsidRDefault="002D7B16"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В случай че бенефициентът избере Вариант 1 или Вариант 2, т.е. в случаите, когато плащането на безвъзмездната финансова помощ ще се извърши на няколко вноски (траншове), помощта </w:t>
      </w:r>
      <w:r w:rsidR="006E7A98" w:rsidRPr="00BD3276">
        <w:rPr>
          <w:sz w:val="24"/>
          <w:szCs w:val="24"/>
        </w:rPr>
        <w:t xml:space="preserve">и допустимите разходи </w:t>
      </w:r>
      <w:r w:rsidRPr="00BD3276">
        <w:rPr>
          <w:sz w:val="24"/>
          <w:szCs w:val="24"/>
        </w:rPr>
        <w:t xml:space="preserve">следва да </w:t>
      </w:r>
      <w:r w:rsidR="006E7A98" w:rsidRPr="00BD3276">
        <w:rPr>
          <w:sz w:val="24"/>
          <w:szCs w:val="24"/>
        </w:rPr>
        <w:t xml:space="preserve">бъдат сконтирани </w:t>
      </w:r>
      <w:r w:rsidRPr="00BD3276">
        <w:rPr>
          <w:sz w:val="24"/>
          <w:szCs w:val="24"/>
        </w:rPr>
        <w:t xml:space="preserve">до </w:t>
      </w:r>
      <w:r w:rsidR="006E7A98" w:rsidRPr="00BD3276">
        <w:rPr>
          <w:sz w:val="24"/>
          <w:szCs w:val="24"/>
        </w:rPr>
        <w:t xml:space="preserve">съответната </w:t>
      </w:r>
      <w:r w:rsidRPr="00BD3276">
        <w:rPr>
          <w:sz w:val="24"/>
          <w:szCs w:val="24"/>
        </w:rPr>
        <w:t xml:space="preserve">стойност към момента на предоставянето </w:t>
      </w:r>
      <w:r w:rsidR="006E7A98" w:rsidRPr="00BD3276">
        <w:rPr>
          <w:sz w:val="24"/>
          <w:szCs w:val="24"/>
        </w:rPr>
        <w:t>на помощта</w:t>
      </w:r>
      <w:r w:rsidRPr="00BD3276">
        <w:rPr>
          <w:sz w:val="24"/>
          <w:szCs w:val="24"/>
        </w:rPr>
        <w:t xml:space="preserve">, при използване на референтния лихвен процент, използван за нуждите на държавните помощи, приложим към датата на предоставяне на помощта в съответствие с </w:t>
      </w:r>
      <w:r w:rsidR="006C391F" w:rsidRPr="00BD3276">
        <w:rPr>
          <w:sz w:val="24"/>
          <w:szCs w:val="24"/>
        </w:rPr>
        <w:t>чл. 7, ал. 3 от Регламент на Комисията (ЕС) № 651/2014</w:t>
      </w:r>
      <w:r w:rsidRPr="00BD3276">
        <w:rPr>
          <w:sz w:val="24"/>
          <w:szCs w:val="24"/>
        </w:rPr>
        <w:t>. Референтният лихвен процент се актуализира периодично от Европейската комисия. Референтният лихвен процент за Република България за съответния период се оповестява на следния интернет адрес: http://stateaid.minfin.bg/bg/page/424 .</w:t>
      </w:r>
    </w:p>
    <w:p w:rsidR="00D4191F" w:rsidRPr="006B0B41" w:rsidRDefault="002D7B16" w:rsidP="006B0B4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Сконтирането</w:t>
      </w:r>
      <w:r w:rsidR="007D064B" w:rsidRPr="00BD3276">
        <w:rPr>
          <w:rStyle w:val="FootnoteReference"/>
          <w:sz w:val="24"/>
          <w:szCs w:val="24"/>
        </w:rPr>
        <w:footnoteReference w:id="45"/>
      </w:r>
      <w:r w:rsidRPr="00BD3276">
        <w:rPr>
          <w:sz w:val="24"/>
          <w:szCs w:val="24"/>
        </w:rPr>
        <w:t xml:space="preserve"> ще се извършва от </w:t>
      </w:r>
      <w:r w:rsidR="006E7A98" w:rsidRPr="00BD3276">
        <w:rPr>
          <w:sz w:val="24"/>
          <w:szCs w:val="24"/>
        </w:rPr>
        <w:t xml:space="preserve">Управляващия </w:t>
      </w:r>
      <w:r w:rsidRPr="00BD3276">
        <w:rPr>
          <w:sz w:val="24"/>
          <w:szCs w:val="24"/>
        </w:rPr>
        <w:t xml:space="preserve">орган с оглед гарантиране, че предоставената безвъзмездна финансова помощ ще бъде съобразена с интензитета за помощта, предвиден в регионалната карта за държавна помощ за България, и с праговете и интензитетите за </w:t>
      </w:r>
      <w:r w:rsidR="008178D2">
        <w:rPr>
          <w:sz w:val="24"/>
          <w:szCs w:val="24"/>
        </w:rPr>
        <w:t>държавна/минимална</w:t>
      </w:r>
      <w:r w:rsidRPr="00BD3276">
        <w:rPr>
          <w:sz w:val="24"/>
          <w:szCs w:val="24"/>
        </w:rPr>
        <w:t xml:space="preserve"> помощ, </w:t>
      </w:r>
      <w:r w:rsidR="008178D2">
        <w:rPr>
          <w:sz w:val="24"/>
          <w:szCs w:val="24"/>
        </w:rPr>
        <w:t xml:space="preserve">посочени </w:t>
      </w:r>
      <w:r w:rsidR="000311E1">
        <w:rPr>
          <w:sz w:val="24"/>
          <w:szCs w:val="24"/>
        </w:rPr>
        <w:t xml:space="preserve">съответно </w:t>
      </w:r>
      <w:r w:rsidR="008178D2">
        <w:rPr>
          <w:sz w:val="24"/>
          <w:szCs w:val="24"/>
        </w:rPr>
        <w:t xml:space="preserve">в </w:t>
      </w:r>
      <w:r w:rsidR="000311E1">
        <w:rPr>
          <w:sz w:val="24"/>
          <w:szCs w:val="24"/>
        </w:rPr>
        <w:t xml:space="preserve">т.9 и </w:t>
      </w:r>
      <w:r w:rsidR="008178D2">
        <w:rPr>
          <w:sz w:val="24"/>
          <w:szCs w:val="24"/>
        </w:rPr>
        <w:t>т.10 от Насоките за кандидатстване</w:t>
      </w:r>
      <w:r w:rsidRPr="00BD3276">
        <w:rPr>
          <w:sz w:val="24"/>
          <w:szCs w:val="24"/>
        </w:rPr>
        <w:t>, както и за докладване на помощта.</w:t>
      </w:r>
    </w:p>
    <w:p w:rsidR="00C80ACE" w:rsidRPr="00BD3276" w:rsidRDefault="001F742C" w:rsidP="006C4D1A">
      <w:pPr>
        <w:pStyle w:val="Heading3"/>
        <w:spacing w:before="120" w:after="120"/>
        <w:rPr>
          <w:color w:val="FF0000"/>
          <w:sz w:val="24"/>
          <w:szCs w:val="24"/>
        </w:rPr>
      </w:pPr>
      <w:bookmarkStart w:id="40" w:name="_Toc418791471"/>
      <w:r w:rsidRPr="00BD3276">
        <w:rPr>
          <w:sz w:val="24"/>
          <w:szCs w:val="24"/>
        </w:rPr>
        <w:t>26.4</w:t>
      </w:r>
      <w:r w:rsidR="00566680" w:rsidRPr="00BD3276">
        <w:rPr>
          <w:sz w:val="24"/>
          <w:szCs w:val="24"/>
        </w:rPr>
        <w:t>. Мерки за информиране и публичност</w:t>
      </w:r>
      <w:bookmarkEnd w:id="40"/>
    </w:p>
    <w:p w:rsidR="00A067EF" w:rsidRPr="00BD3276" w:rsidRDefault="00A067EF"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Всички бенефициенти трябва да прилагат подходящи мерки за публичност и информираност съгласно правилата на</w:t>
      </w:r>
      <w:r w:rsidR="001A0E81" w:rsidRPr="00BD3276">
        <w:rPr>
          <w:sz w:val="24"/>
          <w:szCs w:val="24"/>
        </w:rPr>
        <w:t xml:space="preserve"> Приложение XII на</w:t>
      </w:r>
      <w:r w:rsidRPr="00BD3276">
        <w:rPr>
          <w:sz w:val="24"/>
          <w:szCs w:val="24"/>
        </w:rPr>
        <w:t xml:space="preserve"> </w:t>
      </w:r>
      <w:r w:rsidR="00EF33E5" w:rsidRPr="00BD3276">
        <w:rPr>
          <w:sz w:val="24"/>
          <w:szCs w:val="24"/>
        </w:rPr>
        <w:t>Регламент (ЕС) № 1303/2013</w:t>
      </w:r>
      <w:r w:rsidRPr="00BD3276">
        <w:rPr>
          <w:sz w:val="24"/>
          <w:szCs w:val="24"/>
        </w:rPr>
        <w:t>.</w:t>
      </w:r>
    </w:p>
    <w:p w:rsidR="00566680" w:rsidRPr="00BD3276" w:rsidRDefault="00A067EF"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lastRenderedPageBreak/>
        <w:t>Бенефициентите са длъжни да упоменат финансовия принос на Европейския фонд за регионално развитие  чрез Оперативна програма „</w:t>
      </w:r>
      <w:r w:rsidR="00475D58" w:rsidRPr="00BD3276">
        <w:rPr>
          <w:sz w:val="24"/>
          <w:szCs w:val="24"/>
        </w:rPr>
        <w:t xml:space="preserve">Иновации и конкурентоспособност” 2014-2020 </w:t>
      </w:r>
      <w:r w:rsidRPr="00BD3276">
        <w:rPr>
          <w:sz w:val="24"/>
          <w:szCs w:val="24"/>
        </w:rPr>
        <w:t>в информацията, изготвяна и предоставяна във връзка с изпълнението на проекта, във всички отчети за изпълнение на договора (междинни и финален), както и във всички други документи, отнасящи се до изпълнението на дадена дейност по проекта. Във всички обяви и публикации, свързани с изпълнението на проекта, бенефициентът е длъжен да оповести, че проектът е получил финансиране от ЕФРР чрез</w:t>
      </w:r>
      <w:r w:rsidR="00475D58" w:rsidRPr="00BD3276">
        <w:rPr>
          <w:sz w:val="24"/>
          <w:szCs w:val="24"/>
        </w:rPr>
        <w:t xml:space="preserve"> ОПИК</w:t>
      </w:r>
      <w:r w:rsidRPr="00BD3276">
        <w:rPr>
          <w:sz w:val="24"/>
          <w:szCs w:val="24"/>
        </w:rPr>
        <w:t>.</w:t>
      </w:r>
    </w:p>
    <w:p w:rsidR="002022AF" w:rsidRPr="00BD3276" w:rsidRDefault="002022AF"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По време на </w:t>
      </w:r>
      <w:r w:rsidR="004862C4" w:rsidRPr="00BD3276">
        <w:rPr>
          <w:sz w:val="24"/>
          <w:szCs w:val="24"/>
        </w:rPr>
        <w:t>изпълнението на даден проект</w:t>
      </w:r>
      <w:r w:rsidRPr="00BD3276">
        <w:rPr>
          <w:sz w:val="24"/>
          <w:szCs w:val="24"/>
        </w:rPr>
        <w:t xml:space="preserve"> бенефициентът информира обществеността за получената от </w:t>
      </w:r>
      <w:r w:rsidR="004862C4" w:rsidRPr="00BD3276">
        <w:rPr>
          <w:sz w:val="24"/>
          <w:szCs w:val="24"/>
        </w:rPr>
        <w:t>ЕФРР</w:t>
      </w:r>
      <w:r w:rsidRPr="00BD3276">
        <w:rPr>
          <w:sz w:val="24"/>
          <w:szCs w:val="24"/>
        </w:rPr>
        <w:t xml:space="preserve"> подкрепа, като:</w:t>
      </w:r>
    </w:p>
    <w:p w:rsidR="002022AF" w:rsidRPr="00BD3276" w:rsidRDefault="002022AF"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а) вк</w:t>
      </w:r>
      <w:r w:rsidR="004862C4" w:rsidRPr="00BD3276">
        <w:rPr>
          <w:sz w:val="24"/>
          <w:szCs w:val="24"/>
        </w:rPr>
        <w:t xml:space="preserve">лючва на </w:t>
      </w:r>
      <w:r w:rsidR="006D72F5" w:rsidRPr="00BD3276">
        <w:rPr>
          <w:sz w:val="24"/>
          <w:szCs w:val="24"/>
        </w:rPr>
        <w:t>интернет страницата си</w:t>
      </w:r>
      <w:r w:rsidR="00A215C8" w:rsidRPr="00BD3276">
        <w:rPr>
          <w:sz w:val="24"/>
          <w:szCs w:val="24"/>
        </w:rPr>
        <w:t xml:space="preserve">, </w:t>
      </w:r>
      <w:r w:rsidR="006D72F5" w:rsidRPr="00BD3276">
        <w:rPr>
          <w:sz w:val="24"/>
          <w:szCs w:val="24"/>
        </w:rPr>
        <w:t>когато такава съществува</w:t>
      </w:r>
      <w:r w:rsidR="00A215C8" w:rsidRPr="00BD3276">
        <w:rPr>
          <w:sz w:val="24"/>
          <w:szCs w:val="24"/>
        </w:rPr>
        <w:t>,</w:t>
      </w:r>
      <w:r w:rsidR="006D72F5" w:rsidRPr="00BD3276">
        <w:rPr>
          <w:sz w:val="24"/>
          <w:szCs w:val="24"/>
        </w:rPr>
        <w:t xml:space="preserve"> </w:t>
      </w:r>
      <w:r w:rsidRPr="00BD3276">
        <w:rPr>
          <w:sz w:val="24"/>
          <w:szCs w:val="24"/>
        </w:rPr>
        <w:t xml:space="preserve">кратко описание на проекта, пропорционално на равнището на подкрепа, включително на неговите цели и резултати, и откроява финансовата подкрепа от </w:t>
      </w:r>
      <w:r w:rsidR="006D72F5" w:rsidRPr="00BD3276">
        <w:rPr>
          <w:sz w:val="24"/>
          <w:szCs w:val="24"/>
        </w:rPr>
        <w:t>ЕС</w:t>
      </w:r>
      <w:r w:rsidRPr="00BD3276">
        <w:rPr>
          <w:sz w:val="24"/>
          <w:szCs w:val="24"/>
        </w:rPr>
        <w:t>;</w:t>
      </w:r>
    </w:p>
    <w:p w:rsidR="002820D2" w:rsidRPr="00BD3276" w:rsidRDefault="003D700A"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б) поставя </w:t>
      </w:r>
      <w:r w:rsidR="002820D2" w:rsidRPr="00BD3276">
        <w:rPr>
          <w:sz w:val="24"/>
          <w:szCs w:val="24"/>
        </w:rPr>
        <w:t xml:space="preserve">минимум един плакат с информация за проекта (поне размер А3), в който се споменава финансовата подкрепа от </w:t>
      </w:r>
      <w:r w:rsidRPr="00BD3276">
        <w:rPr>
          <w:sz w:val="24"/>
          <w:szCs w:val="24"/>
        </w:rPr>
        <w:t>ЕС</w:t>
      </w:r>
      <w:r w:rsidR="002820D2" w:rsidRPr="00BD3276">
        <w:rPr>
          <w:sz w:val="24"/>
          <w:szCs w:val="24"/>
        </w:rPr>
        <w:t>, на видно за обществеността място, като например входа на сграда.</w:t>
      </w:r>
    </w:p>
    <w:p w:rsidR="00083DBB" w:rsidRPr="00BD3276" w:rsidRDefault="00083DBB"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Плакатът следва да съдържа следната текстова и визуална информация:</w:t>
      </w:r>
    </w:p>
    <w:p w:rsidR="00083DBB" w:rsidRPr="00BD3276" w:rsidRDefault="00083DBB"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емблемата на ЕС и упоменаването „Европейски съюз“;</w:t>
      </w:r>
    </w:p>
    <w:p w:rsidR="00083DBB" w:rsidRPr="00BD3276" w:rsidRDefault="00083DBB"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наименованието на </w:t>
      </w:r>
      <w:proofErr w:type="spellStart"/>
      <w:r w:rsidRPr="00BD3276">
        <w:rPr>
          <w:sz w:val="24"/>
          <w:szCs w:val="24"/>
        </w:rPr>
        <w:t>съфинансиращия</w:t>
      </w:r>
      <w:proofErr w:type="spellEnd"/>
      <w:r w:rsidRPr="00BD3276">
        <w:rPr>
          <w:sz w:val="24"/>
          <w:szCs w:val="24"/>
        </w:rPr>
        <w:t xml:space="preserve"> фонд</w:t>
      </w:r>
      <w:r w:rsidR="00D212C0" w:rsidRPr="00BD3276">
        <w:rPr>
          <w:sz w:val="24"/>
          <w:szCs w:val="24"/>
        </w:rPr>
        <w:t xml:space="preserve"> - Европейски фонд за регионално развитие</w:t>
      </w:r>
      <w:r w:rsidRPr="00BD3276">
        <w:rPr>
          <w:sz w:val="24"/>
          <w:szCs w:val="24"/>
        </w:rPr>
        <w:t>;</w:t>
      </w:r>
    </w:p>
    <w:p w:rsidR="00083DBB" w:rsidRPr="00BD3276" w:rsidRDefault="00D212C0"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w:t>
      </w:r>
      <w:r w:rsidR="00083DBB" w:rsidRPr="00BD3276">
        <w:rPr>
          <w:sz w:val="24"/>
          <w:szCs w:val="24"/>
        </w:rPr>
        <w:t>общото лого за програмен период 2014-2020 г.;</w:t>
      </w:r>
    </w:p>
    <w:p w:rsidR="00083DBB" w:rsidRPr="00BD3276" w:rsidRDefault="00D212C0"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w:t>
      </w:r>
      <w:r w:rsidR="00083DBB" w:rsidRPr="00BD3276">
        <w:rPr>
          <w:sz w:val="24"/>
          <w:szCs w:val="24"/>
        </w:rPr>
        <w:t xml:space="preserve">наименованието на </w:t>
      </w:r>
      <w:r w:rsidR="00D84C33" w:rsidRPr="00BD3276">
        <w:rPr>
          <w:sz w:val="24"/>
          <w:szCs w:val="24"/>
        </w:rPr>
        <w:t>Оперативна програма „Иновации и конкурентоспособност” 2014-2020;</w:t>
      </w:r>
    </w:p>
    <w:p w:rsidR="00083DBB" w:rsidRPr="00BD3276" w:rsidRDefault="00D84C3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w:t>
      </w:r>
      <w:r w:rsidR="00083DBB" w:rsidRPr="00BD3276">
        <w:rPr>
          <w:sz w:val="24"/>
          <w:szCs w:val="24"/>
        </w:rPr>
        <w:t>наименованието на проекта;</w:t>
      </w:r>
    </w:p>
    <w:p w:rsidR="00083DBB" w:rsidRPr="00BD3276" w:rsidRDefault="00D84C3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w:t>
      </w:r>
      <w:r w:rsidR="00083DBB" w:rsidRPr="00BD3276">
        <w:rPr>
          <w:sz w:val="24"/>
          <w:szCs w:val="24"/>
        </w:rPr>
        <w:t>общата стойност на проекта, както и размера на европейското и националното съфинансиране, представени в български лева;</w:t>
      </w:r>
    </w:p>
    <w:p w:rsidR="002820D2" w:rsidRPr="00BD3276" w:rsidRDefault="00D84C33"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 </w:t>
      </w:r>
      <w:r w:rsidR="00083DBB" w:rsidRPr="00BD3276">
        <w:rPr>
          <w:sz w:val="24"/>
          <w:szCs w:val="24"/>
        </w:rPr>
        <w:t>начална и крайна дата на изпълнение на проекта.</w:t>
      </w:r>
    </w:p>
    <w:p w:rsidR="00101C6E" w:rsidRPr="00BD3276" w:rsidRDefault="00101C6E"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Не по-късно от три месеца след приключването н</w:t>
      </w:r>
      <w:r w:rsidR="00E407A1" w:rsidRPr="00BD3276">
        <w:rPr>
          <w:sz w:val="24"/>
          <w:szCs w:val="24"/>
        </w:rPr>
        <w:t>а даден</w:t>
      </w:r>
      <w:r w:rsidRPr="00BD3276">
        <w:rPr>
          <w:sz w:val="24"/>
          <w:szCs w:val="24"/>
        </w:rPr>
        <w:t xml:space="preserve"> </w:t>
      </w:r>
      <w:r w:rsidR="00E407A1" w:rsidRPr="00BD3276">
        <w:rPr>
          <w:sz w:val="24"/>
          <w:szCs w:val="24"/>
        </w:rPr>
        <w:t>проект</w:t>
      </w:r>
      <w:r w:rsidRPr="00BD3276">
        <w:rPr>
          <w:sz w:val="24"/>
          <w:szCs w:val="24"/>
        </w:rPr>
        <w:t xml:space="preserve"> бенефициентът поставя постоянна табела или билборд </w:t>
      </w:r>
      <w:r w:rsidR="00A03556" w:rsidRPr="00BD3276">
        <w:rPr>
          <w:sz w:val="24"/>
          <w:szCs w:val="24"/>
        </w:rPr>
        <w:t>(</w:t>
      </w:r>
      <w:r w:rsidR="00050AC6" w:rsidRPr="00BD3276">
        <w:rPr>
          <w:sz w:val="24"/>
          <w:szCs w:val="24"/>
        </w:rPr>
        <w:t>кои</w:t>
      </w:r>
      <w:r w:rsidR="00A03556" w:rsidRPr="00BD3276">
        <w:rPr>
          <w:sz w:val="24"/>
          <w:szCs w:val="24"/>
        </w:rPr>
        <w:t>то замества</w:t>
      </w:r>
      <w:r w:rsidR="00050AC6" w:rsidRPr="00BD3276">
        <w:rPr>
          <w:sz w:val="24"/>
          <w:szCs w:val="24"/>
        </w:rPr>
        <w:t>т</w:t>
      </w:r>
      <w:r w:rsidR="00A03556" w:rsidRPr="00BD3276">
        <w:rPr>
          <w:sz w:val="24"/>
          <w:szCs w:val="24"/>
        </w:rPr>
        <w:t xml:space="preserve"> </w:t>
      </w:r>
      <w:r w:rsidR="00270B5F" w:rsidRPr="00BD3276">
        <w:rPr>
          <w:sz w:val="24"/>
          <w:szCs w:val="24"/>
        </w:rPr>
        <w:t>плаката</w:t>
      </w:r>
      <w:r w:rsidR="00A03556" w:rsidRPr="00BD3276">
        <w:rPr>
          <w:sz w:val="24"/>
          <w:szCs w:val="24"/>
        </w:rPr>
        <w:t xml:space="preserve">) </w:t>
      </w:r>
      <w:r w:rsidRPr="00BD3276">
        <w:rPr>
          <w:sz w:val="24"/>
          <w:szCs w:val="24"/>
        </w:rPr>
        <w:t>с големи размери на видимо за обществеността място за всеки проект, който изпълнява следните критерии:</w:t>
      </w:r>
    </w:p>
    <w:p w:rsidR="00101C6E" w:rsidRPr="00BD3276" w:rsidRDefault="00101C6E"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а) общата публична подкрепа за </w:t>
      </w:r>
      <w:r w:rsidR="00A03556" w:rsidRPr="00BD3276">
        <w:rPr>
          <w:sz w:val="24"/>
          <w:szCs w:val="24"/>
        </w:rPr>
        <w:t>проекта</w:t>
      </w:r>
      <w:r w:rsidRPr="00BD3276">
        <w:rPr>
          <w:sz w:val="24"/>
          <w:szCs w:val="24"/>
        </w:rPr>
        <w:t xml:space="preserve"> надхвърля 500 000 </w:t>
      </w:r>
      <w:r w:rsidR="00270B5F" w:rsidRPr="00BD3276">
        <w:rPr>
          <w:sz w:val="24"/>
          <w:szCs w:val="24"/>
        </w:rPr>
        <w:t>евро</w:t>
      </w:r>
      <w:r w:rsidRPr="00BD3276">
        <w:rPr>
          <w:sz w:val="24"/>
          <w:szCs w:val="24"/>
        </w:rPr>
        <w:t>;</w:t>
      </w:r>
      <w:r w:rsidR="00270B5F" w:rsidRPr="00BD3276">
        <w:rPr>
          <w:sz w:val="24"/>
          <w:szCs w:val="24"/>
        </w:rPr>
        <w:t xml:space="preserve"> както и</w:t>
      </w:r>
    </w:p>
    <w:p w:rsidR="00101C6E" w:rsidRPr="00BD3276" w:rsidRDefault="00101C6E"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 xml:space="preserve">б) </w:t>
      </w:r>
      <w:r w:rsidR="00E62FA1" w:rsidRPr="00BD3276">
        <w:rPr>
          <w:sz w:val="24"/>
          <w:szCs w:val="24"/>
        </w:rPr>
        <w:t>п</w:t>
      </w:r>
      <w:r w:rsidR="004C41B4" w:rsidRPr="00BD3276">
        <w:rPr>
          <w:sz w:val="24"/>
          <w:szCs w:val="24"/>
        </w:rPr>
        <w:t>роектът</w:t>
      </w:r>
      <w:r w:rsidRPr="00BD3276">
        <w:rPr>
          <w:sz w:val="24"/>
          <w:szCs w:val="24"/>
        </w:rPr>
        <w:t xml:space="preserve"> се състои в закупуване на физически предмет</w:t>
      </w:r>
      <w:r w:rsidR="00C244E2" w:rsidRPr="00BD3276">
        <w:rPr>
          <w:sz w:val="24"/>
          <w:szCs w:val="24"/>
        </w:rPr>
        <w:t xml:space="preserve"> (</w:t>
      </w:r>
      <w:r w:rsidR="00104F0A" w:rsidRPr="00BD3276">
        <w:rPr>
          <w:sz w:val="24"/>
          <w:szCs w:val="24"/>
        </w:rPr>
        <w:t>материален актив</w:t>
      </w:r>
      <w:r w:rsidR="00C244E2" w:rsidRPr="00BD3276">
        <w:rPr>
          <w:sz w:val="24"/>
          <w:szCs w:val="24"/>
        </w:rPr>
        <w:t>)</w:t>
      </w:r>
      <w:r w:rsidRPr="00BD3276">
        <w:rPr>
          <w:sz w:val="24"/>
          <w:szCs w:val="24"/>
        </w:rPr>
        <w:t xml:space="preserve"> или във финансиране на инфраструктура или на строителни работи.</w:t>
      </w:r>
    </w:p>
    <w:p w:rsidR="007D06DB" w:rsidRPr="00BD3276" w:rsidRDefault="0066332B"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Постоянната табела</w:t>
      </w:r>
      <w:r w:rsidR="00104F0A" w:rsidRPr="00BD3276">
        <w:rPr>
          <w:sz w:val="24"/>
          <w:szCs w:val="24"/>
        </w:rPr>
        <w:t xml:space="preserve"> или билбордът </w:t>
      </w:r>
      <w:r w:rsidRPr="00BD3276">
        <w:rPr>
          <w:sz w:val="24"/>
          <w:szCs w:val="24"/>
        </w:rPr>
        <w:t xml:space="preserve">следва да съдържат същите задължителни елементи като </w:t>
      </w:r>
      <w:r w:rsidR="005D39CC" w:rsidRPr="00BD3276">
        <w:rPr>
          <w:sz w:val="24"/>
          <w:szCs w:val="24"/>
        </w:rPr>
        <w:t xml:space="preserve">плаката </w:t>
      </w:r>
      <w:r w:rsidRPr="00BD3276">
        <w:rPr>
          <w:sz w:val="24"/>
          <w:szCs w:val="24"/>
        </w:rPr>
        <w:t>(описани по-горе)</w:t>
      </w:r>
      <w:r w:rsidR="005D39CC" w:rsidRPr="00BD3276">
        <w:rPr>
          <w:sz w:val="24"/>
          <w:szCs w:val="24"/>
        </w:rPr>
        <w:t xml:space="preserve">, като емблемата на ЕС, упоменаването „Европейски съюз“ и наименованието на финансиращия фонд трябва да заемат минимум 25% от площта им. </w:t>
      </w:r>
      <w:r w:rsidR="00104F0A" w:rsidRPr="00BD3276">
        <w:rPr>
          <w:sz w:val="24"/>
          <w:szCs w:val="24"/>
        </w:rPr>
        <w:t>Те се изготвят в съответствие с техническите характеристики, приети от Европейската комисия.</w:t>
      </w:r>
    </w:p>
    <w:p w:rsidR="002022AF" w:rsidRPr="00BD3276" w:rsidRDefault="006D6EC2"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t>Емблемата на ЕС следва да е в съответствие с графичните стандарти, определени в приложение II от</w:t>
      </w:r>
      <w:r w:rsidRPr="00BD3276">
        <w:t xml:space="preserve"> </w:t>
      </w:r>
      <w:r w:rsidRPr="00BD3276">
        <w:rPr>
          <w:sz w:val="24"/>
          <w:szCs w:val="24"/>
        </w:rPr>
        <w:t>Регламент за изпълнение (ЕС) № 821/2014 на Комисията.</w:t>
      </w:r>
    </w:p>
    <w:p w:rsidR="00C70462" w:rsidRPr="00BD3276" w:rsidRDefault="00C70462" w:rsidP="005100FE">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sz w:val="24"/>
          <w:szCs w:val="24"/>
        </w:rPr>
      </w:pPr>
      <w:r w:rsidRPr="00BD3276">
        <w:rPr>
          <w:sz w:val="24"/>
          <w:szCs w:val="24"/>
        </w:rPr>
        <w:lastRenderedPageBreak/>
        <w:t>В случаите на закупув</w:t>
      </w:r>
      <w:bookmarkStart w:id="41" w:name="_GoBack"/>
      <w:bookmarkEnd w:id="41"/>
      <w:r w:rsidRPr="00BD3276">
        <w:rPr>
          <w:sz w:val="24"/>
          <w:szCs w:val="24"/>
        </w:rPr>
        <w:t xml:space="preserve">ане на оборудване е необходимо да се поставят стикери върху всеки актив, закупен по проекта, включващи информация за финансовия принос на ЕС чрез </w:t>
      </w:r>
      <w:r w:rsidR="00584E9B" w:rsidRPr="00BD3276">
        <w:rPr>
          <w:sz w:val="24"/>
          <w:szCs w:val="24"/>
        </w:rPr>
        <w:t>ОПИК</w:t>
      </w:r>
      <w:r w:rsidRPr="00BD3276">
        <w:rPr>
          <w:sz w:val="24"/>
          <w:szCs w:val="24"/>
        </w:rPr>
        <w:t xml:space="preserve">. </w:t>
      </w:r>
    </w:p>
    <w:p w:rsidR="00105C9C" w:rsidRPr="00BD3276" w:rsidRDefault="00105C9C" w:rsidP="00C7046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BD3276">
        <w:rPr>
          <w:sz w:val="24"/>
          <w:szCs w:val="24"/>
        </w:rPr>
        <w:t xml:space="preserve">Пълният набор от мерки за информиране и публичност, които бенефициентите трябва да прилагат </w:t>
      </w:r>
      <w:r w:rsidR="00301F4B" w:rsidRPr="00BD3276">
        <w:rPr>
          <w:sz w:val="24"/>
          <w:szCs w:val="24"/>
        </w:rPr>
        <w:t xml:space="preserve">при изпълнение на проекти финансирани от ЕСИФ </w:t>
      </w:r>
      <w:r w:rsidR="00673628" w:rsidRPr="00BD3276">
        <w:rPr>
          <w:sz w:val="24"/>
          <w:szCs w:val="24"/>
        </w:rPr>
        <w:t>с</w:t>
      </w:r>
      <w:r w:rsidR="00301F4B" w:rsidRPr="00BD3276">
        <w:rPr>
          <w:sz w:val="24"/>
          <w:szCs w:val="24"/>
        </w:rPr>
        <w:t>е съдържа</w:t>
      </w:r>
      <w:r w:rsidR="00673628" w:rsidRPr="00BD3276">
        <w:rPr>
          <w:sz w:val="24"/>
          <w:szCs w:val="24"/>
        </w:rPr>
        <w:t xml:space="preserve"> в „Единния наръчник на бенефициента за прилагане на правилата за информация и комуникация" 2014-2020, който може да бъде намерен на интернет страницата на </w:t>
      </w:r>
      <w:r w:rsidR="00301F4B" w:rsidRPr="00BD3276">
        <w:rPr>
          <w:sz w:val="24"/>
          <w:szCs w:val="24"/>
        </w:rPr>
        <w:t xml:space="preserve">Управляващия орган - </w:t>
      </w:r>
      <w:hyperlink r:id="rId13" w:history="1">
        <w:r w:rsidR="00301F4B" w:rsidRPr="00BD3276">
          <w:rPr>
            <w:rStyle w:val="Hyperlink"/>
            <w:sz w:val="24"/>
            <w:szCs w:val="24"/>
          </w:rPr>
          <w:t>http://www.opcompetitiveness.bg/module3.php?menu_id=359</w:t>
        </w:r>
      </w:hyperlink>
      <w:r w:rsidR="00301F4B" w:rsidRPr="00BD3276">
        <w:rPr>
          <w:sz w:val="24"/>
          <w:szCs w:val="24"/>
        </w:rPr>
        <w:t xml:space="preserve">. На същата страница могат да бъдат намерени и </w:t>
      </w:r>
      <w:r w:rsidR="00D70229" w:rsidRPr="00BD3276">
        <w:rPr>
          <w:sz w:val="24"/>
          <w:szCs w:val="24"/>
        </w:rPr>
        <w:t>векторните варианти на логото на ОПИК.</w:t>
      </w:r>
    </w:p>
    <w:p w:rsidR="00105C9C" w:rsidRPr="00BD3276" w:rsidRDefault="00105C9C" w:rsidP="00C7046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2D4B6A" w:rsidRPr="00BD3276" w:rsidRDefault="00584E9B" w:rsidP="0045263F">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BD3276">
        <w:rPr>
          <w:b/>
          <w:sz w:val="24"/>
          <w:szCs w:val="24"/>
        </w:rPr>
        <w:t xml:space="preserve">ВАЖНО: </w:t>
      </w:r>
      <w:r w:rsidR="00C70462" w:rsidRPr="00BD3276">
        <w:rPr>
          <w:sz w:val="24"/>
          <w:szCs w:val="24"/>
        </w:rPr>
        <w:t>Неспазването на правилата за визуализация може да доведе до непризнаване на част или на цялата стойност на извършените по проекта разходи.</w:t>
      </w:r>
    </w:p>
    <w:p w:rsidR="006A2DB8" w:rsidRPr="00BD3276" w:rsidRDefault="00CB14EE" w:rsidP="006C4D1A">
      <w:pPr>
        <w:pStyle w:val="Heading2"/>
      </w:pPr>
      <w:bookmarkStart w:id="42" w:name="_Toc418791472"/>
      <w:r w:rsidRPr="00BD3276">
        <w:t>27</w:t>
      </w:r>
      <w:r w:rsidR="006A2DB8" w:rsidRPr="00BD3276">
        <w:t>. Приложения към Насоките за кандидатстване:</w:t>
      </w:r>
      <w:bookmarkEnd w:id="42"/>
    </w:p>
    <w:p w:rsidR="000C6FB3" w:rsidRPr="00C951B7" w:rsidRDefault="005B19D0" w:rsidP="000E0A9A">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color w:val="FF0000"/>
          <w:sz w:val="24"/>
          <w:szCs w:val="24"/>
        </w:rPr>
      </w:pPr>
      <w:r w:rsidRPr="00C951B7">
        <w:rPr>
          <w:sz w:val="24"/>
          <w:szCs w:val="24"/>
        </w:rPr>
        <w:t xml:space="preserve">Указания за попълване на </w:t>
      </w:r>
      <w:r w:rsidR="00E948B5" w:rsidRPr="00C951B7">
        <w:rPr>
          <w:sz w:val="24"/>
          <w:szCs w:val="24"/>
        </w:rPr>
        <w:t>електронен Ф</w:t>
      </w:r>
      <w:r w:rsidRPr="00C951B7">
        <w:rPr>
          <w:sz w:val="24"/>
          <w:szCs w:val="24"/>
        </w:rPr>
        <w:t xml:space="preserve">ормуляр за кандидатстване </w:t>
      </w:r>
      <w:r w:rsidR="00EB2279" w:rsidRPr="00C951B7">
        <w:rPr>
          <w:sz w:val="24"/>
          <w:szCs w:val="24"/>
        </w:rPr>
        <w:t>– Приложение А</w:t>
      </w:r>
      <w:r w:rsidRPr="00C951B7">
        <w:rPr>
          <w:sz w:val="24"/>
          <w:szCs w:val="24"/>
        </w:rPr>
        <w:t>;</w:t>
      </w:r>
    </w:p>
    <w:p w:rsidR="00AE2477" w:rsidRPr="00C951B7" w:rsidRDefault="00AE2477" w:rsidP="000E0A9A">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5B19D0" w:rsidP="00814F6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b/>
          <w:sz w:val="24"/>
          <w:szCs w:val="24"/>
        </w:rPr>
      </w:pPr>
      <w:r w:rsidRPr="00C951B7">
        <w:rPr>
          <w:sz w:val="24"/>
          <w:szCs w:val="24"/>
        </w:rPr>
        <w:t xml:space="preserve">Бизнес план </w:t>
      </w:r>
      <w:r w:rsidR="007E490F" w:rsidRPr="00C951B7">
        <w:rPr>
          <w:sz w:val="24"/>
          <w:szCs w:val="24"/>
        </w:rPr>
        <w:t>– Приложение Б</w:t>
      </w:r>
      <w:r w:rsidR="006A2DB8" w:rsidRPr="00C951B7">
        <w:rPr>
          <w:sz w:val="24"/>
          <w:szCs w:val="24"/>
        </w:rPr>
        <w:t>;</w:t>
      </w: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Декларация, че кандидатът е запознат с условията за кандидатстване</w:t>
      </w:r>
      <w:r w:rsidR="007E490F" w:rsidRPr="00C951B7">
        <w:rPr>
          <w:sz w:val="24"/>
          <w:szCs w:val="24"/>
        </w:rPr>
        <w:t xml:space="preserve"> – Приложение В</w:t>
      </w:r>
      <w:r w:rsidRPr="00C951B7">
        <w:rPr>
          <w:sz w:val="24"/>
          <w:szCs w:val="24"/>
        </w:rPr>
        <w:t>.</w:t>
      </w: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Декларация по чл. 9, ал. </w:t>
      </w:r>
      <w:r w:rsidR="00A34A74" w:rsidRPr="00C951B7">
        <w:rPr>
          <w:sz w:val="24"/>
          <w:szCs w:val="24"/>
        </w:rPr>
        <w:t>8, т. 1 на ПМС № 107/10.05.2014 – Приложение Г;</w:t>
      </w: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Декл</w:t>
      </w:r>
      <w:r w:rsidR="00A34A74" w:rsidRPr="00C951B7">
        <w:rPr>
          <w:sz w:val="24"/>
          <w:szCs w:val="24"/>
        </w:rPr>
        <w:t>арация за държавни</w:t>
      </w:r>
      <w:r w:rsidR="0034277A">
        <w:rPr>
          <w:sz w:val="24"/>
          <w:szCs w:val="24"/>
        </w:rPr>
        <w:t>/минимални</w:t>
      </w:r>
      <w:r w:rsidR="00A34A74" w:rsidRPr="00C951B7">
        <w:rPr>
          <w:sz w:val="24"/>
          <w:szCs w:val="24"/>
        </w:rPr>
        <w:t xml:space="preserve"> помощи – Приложение Д</w:t>
      </w:r>
      <w:r w:rsidRPr="00C951B7">
        <w:rPr>
          <w:sz w:val="24"/>
          <w:szCs w:val="24"/>
        </w:rPr>
        <w:t>.</w:t>
      </w: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Декларация за обстоятелствата по чл. 3 и чл. 4 от Закона за малките и сре</w:t>
      </w:r>
      <w:r w:rsidR="00A34A74" w:rsidRPr="00C951B7">
        <w:rPr>
          <w:sz w:val="24"/>
          <w:szCs w:val="24"/>
        </w:rPr>
        <w:t>дните предприятия - Приложение Е</w:t>
      </w:r>
      <w:r w:rsidRPr="00C951B7">
        <w:rPr>
          <w:sz w:val="24"/>
          <w:szCs w:val="24"/>
        </w:rPr>
        <w:t>.</w:t>
      </w:r>
    </w:p>
    <w:p w:rsidR="000A54EB" w:rsidRPr="00C951B7" w:rsidRDefault="000A54EB"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0A54EB"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Декларация за ненарушаване на чужди права върху интелектуална собственост - попълнена по образец Приложение </w:t>
      </w:r>
      <w:r w:rsidR="007D19AA" w:rsidRPr="00C951B7">
        <w:rPr>
          <w:sz w:val="24"/>
          <w:szCs w:val="24"/>
        </w:rPr>
        <w:t>Ж</w:t>
      </w:r>
      <w:r w:rsidR="009A00E9" w:rsidRPr="00C951B7">
        <w:rPr>
          <w:sz w:val="24"/>
          <w:szCs w:val="24"/>
          <w:lang w:val="en-US"/>
        </w:rPr>
        <w:t>.</w:t>
      </w:r>
    </w:p>
    <w:p w:rsidR="00C81D37" w:rsidRPr="00C951B7" w:rsidRDefault="00C81D37"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C81D37" w:rsidRPr="00C951B7" w:rsidRDefault="009501B4"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Сравнителен анализ на внедряваната иновация </w:t>
      </w:r>
      <w:r w:rsidR="000B5EE5" w:rsidRPr="00C951B7">
        <w:rPr>
          <w:sz w:val="24"/>
          <w:szCs w:val="24"/>
        </w:rPr>
        <w:t>–</w:t>
      </w:r>
      <w:r w:rsidRPr="00C951B7">
        <w:rPr>
          <w:sz w:val="24"/>
          <w:szCs w:val="24"/>
        </w:rPr>
        <w:t xml:space="preserve"> Приложение</w:t>
      </w:r>
      <w:r w:rsidR="000B5EE5" w:rsidRPr="00C951B7">
        <w:rPr>
          <w:sz w:val="24"/>
          <w:szCs w:val="24"/>
        </w:rPr>
        <w:t xml:space="preserve"> З.</w:t>
      </w:r>
    </w:p>
    <w:p w:rsidR="000A54EB" w:rsidRPr="00C951B7" w:rsidRDefault="000A54EB"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4F69" w:rsidRPr="00C951B7" w:rsidRDefault="00814F69"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Декларация за съгласие данните на кандидата да бъдат предоставени от НСИ на УО по служебен път</w:t>
      </w:r>
      <w:r w:rsidR="007E4FA4" w:rsidRPr="00C951B7">
        <w:rPr>
          <w:sz w:val="24"/>
          <w:szCs w:val="24"/>
        </w:rPr>
        <w:t xml:space="preserve"> - Приложение </w:t>
      </w:r>
      <w:r w:rsidR="000B5EE5" w:rsidRPr="00C951B7">
        <w:rPr>
          <w:sz w:val="24"/>
          <w:szCs w:val="24"/>
        </w:rPr>
        <w:t>И</w:t>
      </w:r>
      <w:r w:rsidRPr="00C951B7">
        <w:rPr>
          <w:sz w:val="24"/>
          <w:szCs w:val="24"/>
        </w:rPr>
        <w:t>.</w:t>
      </w:r>
    </w:p>
    <w:p w:rsidR="00B73102" w:rsidRPr="00C951B7" w:rsidRDefault="00B73102" w:rsidP="002A4098">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Критерии  и методология  за оценка на проектните предложения – Приложен</w:t>
      </w:r>
      <w:r w:rsidR="00B76478" w:rsidRPr="00C951B7">
        <w:rPr>
          <w:sz w:val="24"/>
          <w:szCs w:val="24"/>
        </w:rPr>
        <w:t xml:space="preserve">ие </w:t>
      </w:r>
      <w:r w:rsidR="000B5EE5" w:rsidRPr="00C951B7">
        <w:rPr>
          <w:sz w:val="24"/>
          <w:szCs w:val="24"/>
        </w:rPr>
        <w:t>Й</w:t>
      </w:r>
      <w:r w:rsidRPr="00C951B7">
        <w:rPr>
          <w:sz w:val="24"/>
          <w:szCs w:val="24"/>
        </w:rPr>
        <w:t>;</w:t>
      </w: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Договор за безвъзмездна финансова помощ по Оперативна програма „</w:t>
      </w:r>
      <w:r w:rsidR="006B6DE9" w:rsidRPr="00C951B7">
        <w:rPr>
          <w:sz w:val="24"/>
          <w:szCs w:val="24"/>
        </w:rPr>
        <w:t>Иновации и конкурентоспособност” 2014-2020</w:t>
      </w:r>
      <w:r w:rsidR="00B76478" w:rsidRPr="00C951B7">
        <w:rPr>
          <w:sz w:val="24"/>
          <w:szCs w:val="24"/>
        </w:rPr>
        <w:t xml:space="preserve"> – Приложение </w:t>
      </w:r>
      <w:r w:rsidR="000B5EE5" w:rsidRPr="00C951B7">
        <w:rPr>
          <w:sz w:val="24"/>
          <w:szCs w:val="24"/>
        </w:rPr>
        <w:t>К</w:t>
      </w:r>
      <w:r w:rsidRPr="00C951B7">
        <w:rPr>
          <w:sz w:val="24"/>
          <w:szCs w:val="24"/>
        </w:rPr>
        <w:t>;</w:t>
      </w: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Общи условия към финансираните по Оперативна програма “</w:t>
      </w:r>
      <w:r w:rsidR="006B6DE9" w:rsidRPr="00C951B7">
        <w:rPr>
          <w:sz w:val="24"/>
          <w:szCs w:val="24"/>
        </w:rPr>
        <w:t>Иновации и конкурентоспособност</w:t>
      </w:r>
      <w:r w:rsidRPr="00C951B7">
        <w:rPr>
          <w:sz w:val="24"/>
          <w:szCs w:val="24"/>
        </w:rPr>
        <w:t>”</w:t>
      </w:r>
      <w:r w:rsidR="006B6DE9" w:rsidRPr="00C951B7">
        <w:rPr>
          <w:sz w:val="24"/>
          <w:szCs w:val="24"/>
        </w:rPr>
        <w:t xml:space="preserve"> 2014-2020</w:t>
      </w:r>
      <w:r w:rsidRPr="00C951B7">
        <w:rPr>
          <w:sz w:val="24"/>
          <w:szCs w:val="24"/>
        </w:rPr>
        <w:t xml:space="preserve"> договори за предоставяне на безвъзмезд</w:t>
      </w:r>
      <w:r w:rsidR="00B76478" w:rsidRPr="00C951B7">
        <w:rPr>
          <w:sz w:val="24"/>
          <w:szCs w:val="24"/>
        </w:rPr>
        <w:t xml:space="preserve">на финансова помощ – Приложение </w:t>
      </w:r>
      <w:r w:rsidR="000B5EE5" w:rsidRPr="00C951B7">
        <w:rPr>
          <w:sz w:val="24"/>
          <w:szCs w:val="24"/>
        </w:rPr>
        <w:t>Л</w:t>
      </w:r>
      <w:r w:rsidRPr="00C951B7">
        <w:rPr>
          <w:sz w:val="24"/>
          <w:szCs w:val="24"/>
        </w:rPr>
        <w:t>;</w:t>
      </w: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Деклар</w:t>
      </w:r>
      <w:r w:rsidR="00B76478" w:rsidRPr="00C951B7">
        <w:rPr>
          <w:sz w:val="24"/>
          <w:szCs w:val="24"/>
        </w:rPr>
        <w:t xml:space="preserve">ация за нередности – Приложение </w:t>
      </w:r>
      <w:r w:rsidR="000B5EE5" w:rsidRPr="00C951B7">
        <w:rPr>
          <w:sz w:val="24"/>
          <w:szCs w:val="24"/>
        </w:rPr>
        <w:t>М</w:t>
      </w:r>
      <w:r w:rsidRPr="00C951B7">
        <w:rPr>
          <w:sz w:val="24"/>
          <w:szCs w:val="24"/>
        </w:rPr>
        <w:t>;</w:t>
      </w:r>
    </w:p>
    <w:p w:rsidR="003D3794" w:rsidRPr="00C951B7" w:rsidRDefault="003D3794" w:rsidP="003D3794">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A44608"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И</w:t>
      </w:r>
      <w:r w:rsidR="003D3794" w:rsidRPr="00C951B7">
        <w:rPr>
          <w:sz w:val="24"/>
          <w:szCs w:val="24"/>
        </w:rPr>
        <w:t xml:space="preserve">скане за плащане по договор за безвъзмездна финансова помощ – Приложение </w:t>
      </w:r>
      <w:r w:rsidR="000B5EE5" w:rsidRPr="00C951B7">
        <w:rPr>
          <w:sz w:val="24"/>
          <w:szCs w:val="24"/>
        </w:rPr>
        <w:t>Н</w:t>
      </w:r>
      <w:r w:rsidR="00175D15"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10045D"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Pr>
          <w:sz w:val="24"/>
          <w:szCs w:val="24"/>
        </w:rPr>
        <w:t>Б</w:t>
      </w:r>
      <w:r w:rsidR="003D3794" w:rsidRPr="00C951B7">
        <w:rPr>
          <w:sz w:val="24"/>
          <w:szCs w:val="24"/>
        </w:rPr>
        <w:t xml:space="preserve">анкова гаранция - Приложение </w:t>
      </w:r>
      <w:r w:rsidR="000B5EE5" w:rsidRPr="00C951B7">
        <w:rPr>
          <w:sz w:val="24"/>
          <w:szCs w:val="24"/>
        </w:rPr>
        <w:t>О</w:t>
      </w:r>
      <w:r w:rsidR="00175D15"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2D3E5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Указание № 91-00-137/24.03.2014 г. на министъра на финансите относно актуализиране на указание на министъра на финансите за третиране на данък върху добавената стойност като допустим разход при изпълнение на проекти по Оперативните програми, съфинансирани от Структурните фондове и Кохезионния фонд на Европейския съюз, за финансовата рамка 2007 – 2013 г., издадено с № 91-00-502/27.08.2007 г.</w:t>
      </w:r>
      <w:r w:rsidR="004953B2" w:rsidRPr="00C951B7">
        <w:rPr>
          <w:sz w:val="24"/>
          <w:szCs w:val="24"/>
        </w:rPr>
        <w:t xml:space="preserve"> – Приложение </w:t>
      </w:r>
      <w:r w:rsidR="000B5EE5" w:rsidRPr="00C951B7">
        <w:rPr>
          <w:sz w:val="24"/>
          <w:szCs w:val="24"/>
        </w:rPr>
        <w:t>П</w:t>
      </w:r>
      <w:r w:rsidR="004953B2"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4953B2"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ДНФ № 2/01.07.2014 г. относно сертифициране на разходите по </w:t>
      </w:r>
      <w:proofErr w:type="spellStart"/>
      <w:r w:rsidRPr="00C951B7">
        <w:rPr>
          <w:sz w:val="24"/>
          <w:szCs w:val="24"/>
        </w:rPr>
        <w:t>oперативни</w:t>
      </w:r>
      <w:proofErr w:type="spellEnd"/>
      <w:r w:rsidRPr="00C951B7">
        <w:rPr>
          <w:sz w:val="24"/>
          <w:szCs w:val="24"/>
        </w:rPr>
        <w:t xml:space="preserve"> програми, съфинансирани от Европейския фонд за регионално развитие, Европейския социален фонд, Кохезионния фонд, Инициативата за младежка заетост и Фонда за европейско подпомагане на най-нуждаещите се лица на Европейския съюз за финансовата рамка</w:t>
      </w:r>
      <w:r w:rsidR="00175D15" w:rsidRPr="00C951B7">
        <w:rPr>
          <w:sz w:val="24"/>
          <w:szCs w:val="24"/>
        </w:rPr>
        <w:t xml:space="preserve"> 2014 - 2020 г. – Приложение </w:t>
      </w:r>
      <w:r w:rsidR="000B5EE5" w:rsidRPr="00C951B7">
        <w:rPr>
          <w:sz w:val="24"/>
          <w:szCs w:val="24"/>
        </w:rPr>
        <w:t>Р</w:t>
      </w:r>
      <w:r w:rsidR="00175D15"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3D3794"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Приложение I към Договора за </w:t>
      </w:r>
      <w:r w:rsidR="005C7121" w:rsidRPr="00C951B7">
        <w:rPr>
          <w:sz w:val="24"/>
          <w:szCs w:val="24"/>
        </w:rPr>
        <w:t xml:space="preserve">функциониране </w:t>
      </w:r>
      <w:r w:rsidRPr="00C951B7">
        <w:rPr>
          <w:sz w:val="24"/>
          <w:szCs w:val="24"/>
        </w:rPr>
        <w:t>на Европейск</w:t>
      </w:r>
      <w:r w:rsidR="005C7121" w:rsidRPr="00C951B7">
        <w:rPr>
          <w:sz w:val="24"/>
          <w:szCs w:val="24"/>
        </w:rPr>
        <w:t>ия съюз</w:t>
      </w:r>
      <w:r w:rsidRPr="00C951B7">
        <w:rPr>
          <w:sz w:val="24"/>
          <w:szCs w:val="24"/>
        </w:rPr>
        <w:t xml:space="preserve"> – Приложение </w:t>
      </w:r>
      <w:r w:rsidR="000B5EE5" w:rsidRPr="00C951B7">
        <w:rPr>
          <w:sz w:val="24"/>
          <w:szCs w:val="24"/>
        </w:rPr>
        <w:t>С</w:t>
      </w:r>
      <w:r w:rsidR="00175D15"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3D3794"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Приложение № </w:t>
      </w:r>
      <w:r w:rsidR="004E024D" w:rsidRPr="00C951B7">
        <w:rPr>
          <w:sz w:val="24"/>
          <w:szCs w:val="24"/>
        </w:rPr>
        <w:t xml:space="preserve">4 </w:t>
      </w:r>
      <w:r w:rsidRPr="00C951B7">
        <w:rPr>
          <w:sz w:val="24"/>
          <w:szCs w:val="24"/>
        </w:rPr>
        <w:t xml:space="preserve">към </w:t>
      </w:r>
      <w:r w:rsidR="004E024D" w:rsidRPr="00C951B7">
        <w:rPr>
          <w:sz w:val="24"/>
          <w:szCs w:val="24"/>
        </w:rPr>
        <w:t xml:space="preserve">Наредба № 9 от 21 март 2015 г. за прилагане на </w:t>
      </w:r>
      <w:proofErr w:type="spellStart"/>
      <w:r w:rsidR="004E024D" w:rsidRPr="00C951B7">
        <w:rPr>
          <w:sz w:val="24"/>
          <w:szCs w:val="24"/>
        </w:rPr>
        <w:t>подмярка</w:t>
      </w:r>
      <w:proofErr w:type="spellEnd"/>
      <w:r w:rsidR="004E024D" w:rsidRPr="00C951B7">
        <w:rPr>
          <w:sz w:val="24"/>
          <w:szCs w:val="24"/>
        </w:rPr>
        <w:t xml:space="preserve"> 4.1 „Инвестиции в земеделски стопанства“ от мярка 4 „Инвестиции в материални активи“ от Програмата за развитие на селските райони за периода 2014 – 2020 г.</w:t>
      </w:r>
      <w:r w:rsidRPr="00C951B7">
        <w:rPr>
          <w:sz w:val="24"/>
          <w:szCs w:val="24"/>
        </w:rPr>
        <w:t xml:space="preserve">, - Приложение </w:t>
      </w:r>
      <w:r w:rsidR="000B5EE5" w:rsidRPr="00C951B7">
        <w:rPr>
          <w:sz w:val="24"/>
          <w:szCs w:val="24"/>
        </w:rPr>
        <w:t>Т</w:t>
      </w:r>
      <w:r w:rsidR="00C1148A"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3D3794"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Класификатор на икономическите дейности /КИД - 2008/ – Приложение </w:t>
      </w:r>
      <w:r w:rsidR="00515491" w:rsidRPr="00C951B7">
        <w:rPr>
          <w:sz w:val="24"/>
          <w:szCs w:val="24"/>
        </w:rPr>
        <w:t>У</w:t>
      </w:r>
      <w:r w:rsidR="00175D15"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C1576A"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Списък с районите за планир</w:t>
      </w:r>
      <w:r w:rsidR="00D259AB" w:rsidRPr="00C951B7">
        <w:rPr>
          <w:sz w:val="24"/>
          <w:szCs w:val="24"/>
        </w:rPr>
        <w:t xml:space="preserve">ане и областите, попадащи в тях – Приложение </w:t>
      </w:r>
      <w:r w:rsidR="00515491" w:rsidRPr="00C951B7">
        <w:rPr>
          <w:sz w:val="24"/>
          <w:szCs w:val="24"/>
        </w:rPr>
        <w:t>Ф</w:t>
      </w:r>
      <w:r w:rsidR="00594D26"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DE513D"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ДНФ № 1/01.07.2014 г. относно условията и реда на изплащане на финансовата помощ със средства от Европейския фонд за регионално развитие, Европейския социален фонд, Кохезионния фонд, Инициативата за младежка заетост, Фонда за европейско подпомагане на най-нуждаещите се лица на Европейския съюз и кореспондиращото национално съфинансиране за финансова рамка 2014 - 2020 г. - Приложение </w:t>
      </w:r>
      <w:r w:rsidR="00515491" w:rsidRPr="00C951B7">
        <w:rPr>
          <w:sz w:val="24"/>
          <w:szCs w:val="24"/>
        </w:rPr>
        <w:t>Х</w:t>
      </w:r>
      <w:r w:rsidR="00594D26"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594D26"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Техническа спецификация на предвидените за закупуване ДМА и ДНА - Приложение </w:t>
      </w:r>
      <w:r w:rsidR="00515491" w:rsidRPr="00C951B7">
        <w:rPr>
          <w:sz w:val="24"/>
          <w:szCs w:val="24"/>
        </w:rPr>
        <w:t>Ц</w:t>
      </w:r>
      <w:r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B116A9"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roofErr w:type="spellStart"/>
      <w:r w:rsidRPr="00C951B7">
        <w:rPr>
          <w:sz w:val="24"/>
          <w:szCs w:val="24"/>
        </w:rPr>
        <w:t>Методологически</w:t>
      </w:r>
      <w:proofErr w:type="spellEnd"/>
      <w:r w:rsidRPr="00C951B7">
        <w:rPr>
          <w:sz w:val="24"/>
          <w:szCs w:val="24"/>
        </w:rPr>
        <w:t xml:space="preserve"> насоки за индикаторите по процедурата</w:t>
      </w:r>
      <w:r w:rsidR="002F3268" w:rsidRPr="00C951B7">
        <w:rPr>
          <w:sz w:val="24"/>
          <w:szCs w:val="24"/>
        </w:rPr>
        <w:t xml:space="preserve"> - </w:t>
      </w:r>
      <w:r w:rsidRPr="00C951B7">
        <w:rPr>
          <w:sz w:val="24"/>
          <w:szCs w:val="24"/>
        </w:rPr>
        <w:t xml:space="preserve">Приложение </w:t>
      </w:r>
      <w:r w:rsidR="003B645F" w:rsidRPr="00C951B7">
        <w:rPr>
          <w:sz w:val="24"/>
          <w:szCs w:val="24"/>
        </w:rPr>
        <w:t>Ч</w:t>
      </w:r>
      <w:r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175D15" w:rsidRPr="00C951B7" w:rsidRDefault="00B116A9"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Използвани съкращения и основни дефиниции – Приложение </w:t>
      </w:r>
      <w:r w:rsidR="003B645F" w:rsidRPr="00C951B7">
        <w:rPr>
          <w:sz w:val="24"/>
          <w:szCs w:val="24"/>
        </w:rPr>
        <w:t>Ш</w:t>
      </w:r>
      <w:r w:rsidR="002F3268" w:rsidRPr="00C951B7">
        <w:rPr>
          <w:sz w:val="24"/>
          <w:szCs w:val="24"/>
        </w:rPr>
        <w:t>.</w:t>
      </w:r>
    </w:p>
    <w:p w:rsidR="00175D15" w:rsidRPr="00C951B7" w:rsidRDefault="00175D1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401D9C" w:rsidRDefault="00401D9C"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C951B7">
        <w:rPr>
          <w:sz w:val="24"/>
          <w:szCs w:val="24"/>
        </w:rPr>
        <w:t xml:space="preserve">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 – Приложение </w:t>
      </w:r>
      <w:r w:rsidR="003B645F" w:rsidRPr="00C951B7">
        <w:rPr>
          <w:sz w:val="24"/>
          <w:szCs w:val="24"/>
        </w:rPr>
        <w:t>Щ</w:t>
      </w:r>
      <w:r w:rsidRPr="00C951B7">
        <w:rPr>
          <w:sz w:val="24"/>
          <w:szCs w:val="24"/>
        </w:rPr>
        <w:t>.</w:t>
      </w:r>
    </w:p>
    <w:p w:rsidR="00812FB5" w:rsidRDefault="00812FB5"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p>
    <w:p w:rsidR="00812FB5" w:rsidRPr="006912C4" w:rsidRDefault="00E53B87" w:rsidP="00175D15">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sz w:val="24"/>
          <w:szCs w:val="24"/>
        </w:rPr>
      </w:pPr>
      <w:r w:rsidRPr="00E53B87">
        <w:rPr>
          <w:sz w:val="24"/>
          <w:szCs w:val="24"/>
        </w:rPr>
        <w:lastRenderedPageBreak/>
        <w:t>Справка-декларация  относно активите, свързани с дейността, която ще се модернизира или активите, които ще бъдат използвани при</w:t>
      </w:r>
      <w:r w:rsidR="00465CB7">
        <w:rPr>
          <w:sz w:val="24"/>
          <w:szCs w:val="24"/>
        </w:rPr>
        <w:t xml:space="preserve"> производството на нов продукт-Приложение Ъ.</w:t>
      </w:r>
    </w:p>
    <w:sectPr w:rsidR="00812FB5" w:rsidRPr="006912C4" w:rsidSect="00A20AAA">
      <w:headerReference w:type="default" r:id="rId14"/>
      <w:footerReference w:type="default" r:id="rId15"/>
      <w:pgSz w:w="11906" w:h="16838"/>
      <w:pgMar w:top="284" w:right="1133" w:bottom="1417" w:left="141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B1" w:rsidRDefault="00720CB1" w:rsidP="002325A3">
      <w:pPr>
        <w:spacing w:after="0" w:line="240" w:lineRule="auto"/>
      </w:pPr>
      <w:r>
        <w:separator/>
      </w:r>
    </w:p>
  </w:endnote>
  <w:endnote w:type="continuationSeparator" w:id="0">
    <w:p w:rsidR="00720CB1" w:rsidRDefault="00720CB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266747"/>
      <w:docPartObj>
        <w:docPartGallery w:val="Page Numbers (Bottom of Page)"/>
        <w:docPartUnique/>
      </w:docPartObj>
    </w:sdtPr>
    <w:sdtEndPr>
      <w:rPr>
        <w:noProof/>
      </w:rPr>
    </w:sdtEndPr>
    <w:sdtContent>
      <w:p w:rsidR="000271A2" w:rsidRDefault="000271A2">
        <w:pPr>
          <w:pStyle w:val="Footer"/>
          <w:jc w:val="center"/>
        </w:pPr>
        <w:r>
          <w:fldChar w:fldCharType="begin"/>
        </w:r>
        <w:r>
          <w:instrText xml:space="preserve"> PAGE   \* MERGEFORMAT </w:instrText>
        </w:r>
        <w:r>
          <w:fldChar w:fldCharType="separate"/>
        </w:r>
        <w:r w:rsidR="0064757A">
          <w:rPr>
            <w:noProof/>
          </w:rPr>
          <w:t>71</w:t>
        </w:r>
        <w:r>
          <w:rPr>
            <w:noProof/>
          </w:rPr>
          <w:fldChar w:fldCharType="end"/>
        </w:r>
      </w:p>
    </w:sdtContent>
  </w:sdt>
  <w:p w:rsidR="000271A2" w:rsidRPr="008C0317" w:rsidRDefault="000271A2" w:rsidP="008C0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B1" w:rsidRDefault="00720CB1" w:rsidP="002325A3">
      <w:pPr>
        <w:spacing w:after="0" w:line="240" w:lineRule="auto"/>
      </w:pPr>
      <w:r>
        <w:separator/>
      </w:r>
    </w:p>
  </w:footnote>
  <w:footnote w:type="continuationSeparator" w:id="0">
    <w:p w:rsidR="00720CB1" w:rsidRDefault="00720CB1" w:rsidP="002325A3">
      <w:pPr>
        <w:spacing w:after="0" w:line="240" w:lineRule="auto"/>
      </w:pPr>
      <w:r>
        <w:continuationSeparator/>
      </w:r>
    </w:p>
  </w:footnote>
  <w:footnote w:id="1">
    <w:p w:rsidR="000271A2" w:rsidRPr="00D46E3D" w:rsidRDefault="000271A2">
      <w:pPr>
        <w:pStyle w:val="FootnoteText"/>
      </w:pPr>
      <w:r>
        <w:rPr>
          <w:rStyle w:val="FootnoteReference"/>
        </w:rPr>
        <w:footnoteRef/>
      </w:r>
      <w:r>
        <w:t xml:space="preserve"> Моля, запознайте се с използваните съкращения и основни дефиниции по проце</w:t>
      </w:r>
      <w:r w:rsidRPr="00F4142D">
        <w:t>дурата (Приложение Ш).</w:t>
      </w:r>
    </w:p>
  </w:footnote>
  <w:footnote w:id="2">
    <w:p w:rsidR="000271A2" w:rsidRPr="007C6194" w:rsidRDefault="000271A2" w:rsidP="0075172E">
      <w:pPr>
        <w:pStyle w:val="FootnoteText"/>
        <w:jc w:val="both"/>
      </w:pPr>
      <w:r w:rsidRPr="007C6194">
        <w:rPr>
          <w:rStyle w:val="FootnoteReference"/>
        </w:rPr>
        <w:footnoteRef/>
      </w:r>
      <w:r>
        <w:t xml:space="preserve"> </w:t>
      </w:r>
      <w:r w:rsidRPr="007C6194">
        <w:t xml:space="preserve">Определянето на категорията на предприятията е в съответствие с разпоредбите на чл. 3 и чл. 4 от Закона за малките и средни предприятия, които не са в противоречие с определението за МСП съгласно </w:t>
      </w:r>
      <w:r w:rsidRPr="003F0F19">
        <w:t>Приложение I на Регламент (ЕС) № 651/2014</w:t>
      </w:r>
      <w:r w:rsidRPr="007C6194">
        <w:t xml:space="preserve">.  </w:t>
      </w:r>
    </w:p>
  </w:footnote>
  <w:footnote w:id="3">
    <w:p w:rsidR="000271A2" w:rsidRDefault="000271A2" w:rsidP="00264DBF">
      <w:pPr>
        <w:pStyle w:val="FootnoteText"/>
      </w:pPr>
      <w:r>
        <w:rPr>
          <w:rStyle w:val="FootnoteReference"/>
        </w:rPr>
        <w:footnoteRef/>
      </w:r>
      <w:r>
        <w:t xml:space="preserve"> Моля, имайте предвид дефиницията за започване на работата по чл. 2, т. 23 от </w:t>
      </w:r>
      <w:r w:rsidRPr="00A43E94">
        <w:t>Регламент на Комисията (ЕС) № 651/2014</w:t>
      </w:r>
      <w:r>
        <w:t xml:space="preserve">, дадена в </w:t>
      </w:r>
      <w:r w:rsidRPr="00D33DDF">
        <w:t>Приложение Ш към</w:t>
      </w:r>
      <w:r>
        <w:t xml:space="preserve"> настоящите Насоки</w:t>
      </w:r>
    </w:p>
  </w:footnote>
  <w:footnote w:id="4">
    <w:p w:rsidR="000271A2" w:rsidRDefault="000271A2" w:rsidP="008326C7">
      <w:pPr>
        <w:pStyle w:val="FootnoteText"/>
        <w:jc w:val="both"/>
      </w:pPr>
      <w:r>
        <w:rPr>
          <w:rStyle w:val="FootnoteReference"/>
        </w:rPr>
        <w:footnoteRef/>
      </w:r>
      <w:r>
        <w:t xml:space="preserve"> </w:t>
      </w:r>
      <w:r w:rsidRPr="00091B09">
        <w:rPr>
          <w:rFonts w:eastAsia="Calibri"/>
        </w:rPr>
        <w:t xml:space="preserve">Съгласно Класификация на териториалните единици за статистически цели в България. </w:t>
      </w:r>
      <w:r w:rsidRPr="001910E4">
        <w:rPr>
          <w:rFonts w:eastAsia="Calibri"/>
        </w:rPr>
        <w:t xml:space="preserve">Списъкът с районите за планиране и областите, попадащи в тях са посочени в Приложение </w:t>
      </w:r>
      <w:r>
        <w:rPr>
          <w:rFonts w:eastAsia="Calibri"/>
        </w:rPr>
        <w:t>Ф</w:t>
      </w:r>
      <w:r w:rsidRPr="001910E4">
        <w:rPr>
          <w:rFonts w:eastAsia="Calibri"/>
        </w:rPr>
        <w:t>.</w:t>
      </w:r>
    </w:p>
  </w:footnote>
  <w:footnote w:id="5">
    <w:p w:rsidR="000271A2" w:rsidRDefault="000271A2">
      <w:pPr>
        <w:pStyle w:val="FootnoteText"/>
      </w:pPr>
      <w:r>
        <w:rPr>
          <w:rStyle w:val="FootnoteReference"/>
        </w:rPr>
        <w:footnoteRef/>
      </w:r>
      <w:r>
        <w:t xml:space="preserve"> Моля, имайте предвид дефиницията за започване на работата по чл. 2, т. 23 от </w:t>
      </w:r>
      <w:r w:rsidRPr="00A43E94">
        <w:t>Регламент на Комисията (ЕС) № 651/2014</w:t>
      </w:r>
      <w:r>
        <w:t>, дадена в Приложение Ш към настоящите Насоки</w:t>
      </w:r>
    </w:p>
  </w:footnote>
  <w:footnote w:id="6">
    <w:p w:rsidR="000271A2" w:rsidRDefault="000271A2">
      <w:pPr>
        <w:pStyle w:val="FootnoteText"/>
      </w:pPr>
      <w:r>
        <w:rPr>
          <w:rStyle w:val="FootnoteReference"/>
        </w:rPr>
        <w:footnoteRef/>
      </w:r>
      <w:r>
        <w:t xml:space="preserve"> Административна единица област.</w:t>
      </w:r>
    </w:p>
  </w:footnote>
  <w:footnote w:id="7">
    <w:p w:rsidR="000271A2" w:rsidRDefault="000271A2" w:rsidP="004B48C5">
      <w:pPr>
        <w:pStyle w:val="FootnoteText"/>
        <w:tabs>
          <w:tab w:val="left" w:pos="1830"/>
        </w:tabs>
        <w:jc w:val="both"/>
      </w:pPr>
      <w:r>
        <w:rPr>
          <w:rStyle w:val="FootnoteReference"/>
        </w:rPr>
        <w:footnoteRef/>
      </w:r>
      <w:r>
        <w:t xml:space="preserve"> При окончателно плащане Управляващият орган извършва проверка</w:t>
      </w:r>
      <w:r w:rsidRPr="004B48C5">
        <w:rPr>
          <w:bCs/>
          <w:lang w:eastAsia="fr-FR"/>
        </w:rPr>
        <w:t xml:space="preserve"> </w:t>
      </w:r>
      <w:r>
        <w:rPr>
          <w:bCs/>
          <w:lang w:eastAsia="fr-FR"/>
        </w:rPr>
        <w:t>дали с</w:t>
      </w:r>
      <w:r w:rsidRPr="00F65FBE">
        <w:rPr>
          <w:bCs/>
          <w:lang w:eastAsia="fr-FR"/>
        </w:rPr>
        <w:t>контираната стойност на безвъзмездната помощ към сконтираната стойност на допустимите разходи е в рамките на допустимия интензитет</w:t>
      </w:r>
      <w:r>
        <w:rPr>
          <w:bCs/>
          <w:lang w:eastAsia="fr-FR"/>
        </w:rPr>
        <w:t xml:space="preserve"> при прилагане на следната формула:</w:t>
      </w:r>
      <w:r w:rsidRPr="004B48C5">
        <w:t xml:space="preserve"> </w:t>
      </w:r>
      <w:r w:rsidRPr="004B48C5">
        <w:rPr>
          <w:bCs/>
          <w:lang w:eastAsia="fr-FR"/>
        </w:rPr>
        <w:t>PV = FV/(1+i) , където PV е сконтирана стойност, FV е реална стойност,  i е лихвеният процент, а t – периода на изпълнение в години</w:t>
      </w:r>
      <w:r>
        <w:rPr>
          <w:bCs/>
          <w:lang w:eastAsia="fr-FR"/>
        </w:rPr>
        <w:t>.</w:t>
      </w:r>
    </w:p>
  </w:footnote>
  <w:footnote w:id="8">
    <w:p w:rsidR="000271A2" w:rsidRDefault="000271A2" w:rsidP="00B033F8">
      <w:pPr>
        <w:pStyle w:val="FootnoteText"/>
        <w:jc w:val="both"/>
      </w:pPr>
      <w:r>
        <w:rPr>
          <w:rStyle w:val="FootnoteReference"/>
        </w:rPr>
        <w:footnoteRef/>
      </w:r>
      <w:r>
        <w:t xml:space="preserve"> </w:t>
      </w:r>
      <w:r w:rsidRPr="00B033F8">
        <w:t>За целите на настоящите Насоки под „лице с право да представлява кандидата“ следва да се разбира официален представител на предприятието-кандидат, като  документите, които се подават на етап кандидатстване, не могат да се подписват с КЕП от упълномощени лица</w:t>
      </w:r>
      <w:r>
        <w:t>.</w:t>
      </w:r>
    </w:p>
  </w:footnote>
  <w:footnote w:id="9">
    <w:p w:rsidR="000271A2" w:rsidRDefault="000271A2">
      <w:pPr>
        <w:pStyle w:val="FootnoteText"/>
      </w:pPr>
      <w:r>
        <w:rPr>
          <w:rStyle w:val="FootnoteReference"/>
        </w:rPr>
        <w:footnoteRef/>
      </w:r>
      <w:r>
        <w:t xml:space="preserve"> Съгласно дефинициите, дадени в чл. 2, </w:t>
      </w:r>
      <w:proofErr w:type="spellStart"/>
      <w:r>
        <w:t>пар</w:t>
      </w:r>
      <w:proofErr w:type="spellEnd"/>
      <w:r>
        <w:t>. 8, 9, 10, 11, 43, 44, 45 от</w:t>
      </w:r>
      <w:r w:rsidRPr="00AD0ACA">
        <w:t xml:space="preserve"> Регламент на Комисията (ЕС) № 651/2014</w:t>
      </w:r>
      <w:r>
        <w:t xml:space="preserve">, т. 12 от </w:t>
      </w:r>
      <w:r w:rsidRPr="00C342FF">
        <w:t>Рамка</w:t>
      </w:r>
      <w:r>
        <w:t>та</w:t>
      </w:r>
      <w:r w:rsidRPr="00C342FF">
        <w:t xml:space="preserve"> за държавната помощ за корабостроенето</w:t>
      </w:r>
      <w:r>
        <w:t xml:space="preserve"> и Приложение Ш към настоящите Насоки за кандидатстване.</w:t>
      </w:r>
    </w:p>
  </w:footnote>
  <w:footnote w:id="10">
    <w:p w:rsidR="000271A2" w:rsidRDefault="000271A2" w:rsidP="00E22680">
      <w:pPr>
        <w:pStyle w:val="FootnoteText"/>
        <w:jc w:val="both"/>
      </w:pPr>
      <w:r>
        <w:rPr>
          <w:rStyle w:val="FootnoteReference"/>
        </w:rPr>
        <w:footnoteRef/>
      </w:r>
      <w:r>
        <w:t xml:space="preserve"> Проектите, реализирани в тематичната област, следва да са в съобразени с критериите за недопустимост на кандидатите, описани в т.11.2,  и по-специално демаркацията с ПРСР и ограниченията за предприятията от секторите на рибарството и </w:t>
      </w:r>
      <w:proofErr w:type="spellStart"/>
      <w:r>
        <w:t>аквакултурите</w:t>
      </w:r>
      <w:proofErr w:type="spellEnd"/>
      <w:r>
        <w:t>, първично производство на селскостопански продукти; преработката и продажбата на селскостопански продукти.</w:t>
      </w:r>
    </w:p>
  </w:footnote>
  <w:footnote w:id="11">
    <w:p w:rsidR="000271A2" w:rsidRDefault="000271A2" w:rsidP="00CF461F">
      <w:pPr>
        <w:pStyle w:val="FootnoteText"/>
        <w:jc w:val="both"/>
      </w:pPr>
      <w:r>
        <w:rPr>
          <w:rStyle w:val="FootnoteReference"/>
        </w:rPr>
        <w:footnoteRef/>
      </w:r>
      <w:r>
        <w:t xml:space="preserve"> Рутинните модернизации включват незначителни промени по стока или услуга, които са очаквани и планирани предварително.   Развитието на модернизацията/подобрението се основава на рутинни, утвърдени дейности. Например,  антивирусните софтуерни програми се закупуват с очакването за чести актуализации, които да се справят с новите вируси. Хотелските вериги строят нови хотели с очакването мебелировката, осветителните тела и баните да бъдат подновявани регулярно, въпреки че това може да бъде в рамките на 10 или 20-годишен цикъл.</w:t>
      </w:r>
    </w:p>
    <w:p w:rsidR="000271A2" w:rsidRPr="00D2626C" w:rsidRDefault="000271A2" w:rsidP="003730EC">
      <w:pPr>
        <w:pStyle w:val="FootnoteText"/>
      </w:pPr>
    </w:p>
  </w:footnote>
  <w:footnote w:id="12">
    <w:p w:rsidR="000271A2" w:rsidRDefault="000271A2" w:rsidP="00B41C3D">
      <w:pPr>
        <w:pStyle w:val="FootnoteText"/>
      </w:pPr>
      <w:r>
        <w:rPr>
          <w:rStyle w:val="FootnoteReference"/>
        </w:rPr>
        <w:footnoteRef/>
      </w:r>
      <w:r>
        <w:t xml:space="preserve"> С оглед на спецификата на процедурата, допустимо е ползването на  определени услуги, извършвани от лабораториите, а не наемането на лаборатории от кандидата за определен период от време.</w:t>
      </w:r>
    </w:p>
  </w:footnote>
  <w:footnote w:id="13">
    <w:p w:rsidR="000271A2" w:rsidRDefault="000271A2" w:rsidP="00F7425C">
      <w:pPr>
        <w:pStyle w:val="FootnoteText"/>
        <w:jc w:val="both"/>
      </w:pPr>
      <w:r>
        <w:rPr>
          <w:rStyle w:val="FootnoteReference"/>
        </w:rPr>
        <w:footnoteRef/>
      </w:r>
      <w:r>
        <w:t xml:space="preserve"> Съгласно дефиницията за започване на работата по чл. 2, </w:t>
      </w:r>
      <w:proofErr w:type="spellStart"/>
      <w:r>
        <w:t>пар</w:t>
      </w:r>
      <w:proofErr w:type="spellEnd"/>
      <w:r>
        <w:t>. 23</w:t>
      </w:r>
      <w:r w:rsidRPr="007C40FB">
        <w:t xml:space="preserve"> </w:t>
      </w:r>
      <w:r>
        <w:t xml:space="preserve">от </w:t>
      </w:r>
      <w:r w:rsidRPr="007C40FB">
        <w:t>Регламент на Комисията (ЕС) № 651/2014</w:t>
      </w:r>
      <w:r>
        <w:t>, дадена в Приложение Ш към настоящите насоки.</w:t>
      </w:r>
    </w:p>
  </w:footnote>
  <w:footnote w:id="14">
    <w:p w:rsidR="000271A2" w:rsidRDefault="000271A2" w:rsidP="00A5145A">
      <w:pPr>
        <w:pStyle w:val="FootnoteText"/>
        <w:jc w:val="both"/>
      </w:pPr>
      <w:r w:rsidRPr="00797B87">
        <w:rPr>
          <w:rStyle w:val="FootnoteReference"/>
          <w:sz w:val="22"/>
          <w:szCs w:val="22"/>
        </w:rPr>
        <w:footnoteRef/>
      </w:r>
      <w:r w:rsidRPr="00797B87">
        <w:t xml:space="preserve"> В съответствие с чл. 125, </w:t>
      </w:r>
      <w:proofErr w:type="spellStart"/>
      <w:r w:rsidRPr="00797B87">
        <w:t>пар</w:t>
      </w:r>
      <w:proofErr w:type="spellEnd"/>
      <w:r w:rsidRPr="00797B87">
        <w:t xml:space="preserve">. 5 от Регламент (ЕС, ЕВРАТОМ) № 966/2012 г. </w:t>
      </w:r>
      <w:r w:rsidRPr="00797B87">
        <w:rPr>
          <w:bCs/>
        </w:rPr>
        <w:t xml:space="preserve">печалбата се определя като надвишаването на постъпленията спрямо допустимите разходи направени от бенефициента по съответния проект в момента на предявяване на искане за окончателно плащане на отпусната по проекта безвъзмездна помощ. </w:t>
      </w:r>
      <w:r w:rsidRPr="00797B87">
        <w:t>Посочените постъпления се ограничават до прихода генериран от дейностите по проекта.</w:t>
      </w:r>
    </w:p>
  </w:footnote>
  <w:footnote w:id="15">
    <w:p w:rsidR="000271A2" w:rsidRPr="00904A3A" w:rsidRDefault="000271A2" w:rsidP="00A66E9A">
      <w:pPr>
        <w:pStyle w:val="FootnoteText"/>
        <w:jc w:val="both"/>
        <w:rPr>
          <w:rFonts w:ascii="Calibri" w:eastAsia="Calibri" w:hAnsi="Calibri" w:cs="Times New Roman"/>
        </w:rPr>
      </w:pPr>
      <w:r>
        <w:rPr>
          <w:rStyle w:val="FootnoteReference"/>
        </w:rPr>
        <w:footnoteRef/>
      </w:r>
      <w:r>
        <w:t xml:space="preserve"> </w:t>
      </w:r>
      <w:r w:rsidRPr="00A607B5">
        <w:rPr>
          <w:rFonts w:ascii="Calibri" w:eastAsia="Calibri" w:hAnsi="Calibri" w:cs="Times New Roman"/>
        </w:rPr>
        <w:t xml:space="preserve">Разходите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w:t>
      </w:r>
      <w:r w:rsidRPr="00904A3A">
        <w:rPr>
          <w:rFonts w:ascii="Calibri" w:eastAsia="Calibri" w:hAnsi="Calibri" w:cs="Times New Roman"/>
        </w:rPr>
        <w:t xml:space="preserve">проекта (т. 5 от Формуляра за кандидатстване). В случай че са посочени в отделни редове в бюджета на проекта, същите ще бъдат премахнати от бюджета. Относно дефиницията за материални активи се прилага чл. 2, </w:t>
      </w:r>
      <w:proofErr w:type="spellStart"/>
      <w:r w:rsidRPr="00904A3A">
        <w:rPr>
          <w:rFonts w:ascii="Calibri" w:eastAsia="Calibri" w:hAnsi="Calibri" w:cs="Times New Roman"/>
        </w:rPr>
        <w:t>пар</w:t>
      </w:r>
      <w:proofErr w:type="spellEnd"/>
      <w:r w:rsidRPr="00904A3A">
        <w:rPr>
          <w:rFonts w:ascii="Calibri" w:eastAsia="Calibri" w:hAnsi="Calibri" w:cs="Times New Roman"/>
        </w:rPr>
        <w:t>. 29 от Регламент на Комисията (ЕС) № 651/2014 и Приложение Ш към настоящите насоки.</w:t>
      </w:r>
    </w:p>
  </w:footnote>
  <w:footnote w:id="16">
    <w:p w:rsidR="000271A2" w:rsidRPr="00904A3A" w:rsidRDefault="000271A2" w:rsidP="00171DD0">
      <w:pPr>
        <w:pStyle w:val="FootnoteText"/>
        <w:jc w:val="both"/>
      </w:pPr>
      <w:r w:rsidRPr="00904A3A">
        <w:rPr>
          <w:rStyle w:val="FootnoteReference"/>
        </w:rPr>
        <w:footnoteRef/>
      </w:r>
      <w:r w:rsidRPr="00904A3A">
        <w:t xml:space="preserve"> Съгласно дефиницията, дадена в чл. 2, </w:t>
      </w:r>
      <w:proofErr w:type="spellStart"/>
      <w:r w:rsidRPr="00904A3A">
        <w:t>пар</w:t>
      </w:r>
      <w:proofErr w:type="spellEnd"/>
      <w:r w:rsidRPr="00904A3A">
        <w:t>. 30 от Регламент на Комисията (ЕС) № 651/2014 и в Приложение Ш към настоящите насоки.</w:t>
      </w:r>
    </w:p>
  </w:footnote>
  <w:footnote w:id="17">
    <w:p w:rsidR="000271A2" w:rsidRPr="00904A3A" w:rsidRDefault="000271A2" w:rsidP="00171DD0">
      <w:pPr>
        <w:pStyle w:val="FootnoteText"/>
        <w:jc w:val="both"/>
      </w:pPr>
      <w:r w:rsidRPr="00904A3A">
        <w:rPr>
          <w:rStyle w:val="FootnoteReference"/>
        </w:rPr>
        <w:footnoteRef/>
      </w:r>
      <w:r w:rsidRPr="00904A3A">
        <w:t xml:space="preserve"> Съгласно дефиницията, дадена в чл. 2, </w:t>
      </w:r>
      <w:proofErr w:type="spellStart"/>
      <w:r w:rsidRPr="00904A3A">
        <w:t>пар</w:t>
      </w:r>
      <w:proofErr w:type="spellEnd"/>
      <w:r w:rsidRPr="00904A3A">
        <w:t>. 94 и 95 от Регламент на Комисията (ЕС) № 651/2014 и в Приложение Ш към настоящите насоки.</w:t>
      </w:r>
    </w:p>
  </w:footnote>
  <w:footnote w:id="18">
    <w:p w:rsidR="000271A2" w:rsidRDefault="000271A2">
      <w:pPr>
        <w:pStyle w:val="FootnoteText"/>
      </w:pPr>
      <w:r w:rsidRPr="00904A3A">
        <w:rPr>
          <w:rStyle w:val="FootnoteReference"/>
        </w:rPr>
        <w:footnoteRef/>
      </w:r>
      <w:r w:rsidRPr="00904A3A">
        <w:t xml:space="preserve"> Посочените условия са дадени и в Приложение Ш.</w:t>
      </w:r>
    </w:p>
  </w:footnote>
  <w:footnote w:id="19">
    <w:p w:rsidR="000271A2" w:rsidRDefault="000271A2">
      <w:pPr>
        <w:pStyle w:val="FootnoteText"/>
      </w:pPr>
      <w:r>
        <w:rPr>
          <w:rStyle w:val="FootnoteReference"/>
        </w:rPr>
        <w:footnoteRef/>
      </w:r>
      <w:r>
        <w:t xml:space="preserve"> Проектите, реализирани в тематичната област, следва да са в съобразени с критериите за недопустимост на кандидатите, описани в т.11.2,  и по-специално демаркацията с ПРСР и ограниченията за предприятията от секторите на рибарството и </w:t>
      </w:r>
      <w:proofErr w:type="spellStart"/>
      <w:r>
        <w:t>аквакултурите</w:t>
      </w:r>
      <w:proofErr w:type="spellEnd"/>
      <w:r>
        <w:t>, първично производство на селскостопански продукти; преработката и продажбата на селскостопански продукти.</w:t>
      </w:r>
    </w:p>
  </w:footnote>
  <w:footnote w:id="20">
    <w:p w:rsidR="000271A2" w:rsidRDefault="000271A2" w:rsidP="003A1EC4">
      <w:pPr>
        <w:pStyle w:val="FootnoteText"/>
        <w:jc w:val="both"/>
      </w:pPr>
      <w:r>
        <w:rPr>
          <w:rStyle w:val="FootnoteReference"/>
        </w:rPr>
        <w:footnoteRef/>
      </w:r>
      <w:r>
        <w:t xml:space="preserve"> </w:t>
      </w:r>
      <w:r w:rsidRPr="0066215F">
        <w:t>Еко-иновациите се определят като всяка форма на иновация, в резултат на която е налице, или е насочена към значителен и видим напредък към целта за устойчиво развитие чрез намаляване на въздействието върху околната среда, повишаване на устойчивостта към натиска върху околната среда или постигане на по-ефективно и отговорно използване на природните ресурси</w:t>
      </w:r>
    </w:p>
  </w:footnote>
  <w:footnote w:id="21">
    <w:p w:rsidR="000271A2" w:rsidRDefault="000271A2" w:rsidP="005C64E6">
      <w:pPr>
        <w:pStyle w:val="FootnoteText"/>
      </w:pPr>
      <w:r>
        <w:rPr>
          <w:rStyle w:val="FootnoteReference"/>
        </w:rPr>
        <w:footnoteRef/>
      </w:r>
      <w:r>
        <w:t xml:space="preserve"> По смисъла на чл. 2, </w:t>
      </w:r>
      <w:proofErr w:type="spellStart"/>
      <w:r>
        <w:t>пар</w:t>
      </w:r>
      <w:proofErr w:type="spellEnd"/>
      <w:r>
        <w:t xml:space="preserve">. 2 от </w:t>
      </w:r>
      <w:r w:rsidRPr="00524C95">
        <w:t>Регламент (ЕС) № 1407/2013 на Комисията</w:t>
      </w:r>
      <w:r>
        <w:t>.</w:t>
      </w:r>
    </w:p>
  </w:footnote>
  <w:footnote w:id="22">
    <w:p w:rsidR="000271A2" w:rsidRDefault="000271A2">
      <w:pPr>
        <w:pStyle w:val="FootnoteText"/>
      </w:pPr>
      <w:r>
        <w:rPr>
          <w:rStyle w:val="FootnoteReference"/>
        </w:rPr>
        <w:footnoteRef/>
      </w:r>
      <w:r>
        <w:t xml:space="preserve"> Ръководството може да бъде намерено на следния интернет адрес: </w:t>
      </w:r>
      <w:r w:rsidRPr="00421985">
        <w:t>https://eumis2020.government.bg/docs/guide.pdf</w:t>
      </w:r>
    </w:p>
  </w:footnote>
  <w:footnote w:id="23">
    <w:p w:rsidR="000271A2" w:rsidRDefault="000271A2" w:rsidP="00284052">
      <w:pPr>
        <w:pStyle w:val="FootnoteText"/>
        <w:jc w:val="both"/>
      </w:pPr>
      <w:r>
        <w:rPr>
          <w:rStyle w:val="FootnoteReference"/>
        </w:rPr>
        <w:footnoteRef/>
      </w:r>
      <w:r>
        <w:t xml:space="preserve"> Не се включват патентът/свидетелството за регистрация на полезен модел, с който е защитена внедряваната по проекта иновация.</w:t>
      </w:r>
    </w:p>
  </w:footnote>
  <w:footnote w:id="24">
    <w:p w:rsidR="000271A2" w:rsidRDefault="000271A2" w:rsidP="007D1229">
      <w:pPr>
        <w:pStyle w:val="FootnoteText"/>
        <w:jc w:val="both"/>
      </w:pPr>
      <w:r>
        <w:rPr>
          <w:rStyle w:val="FootnoteReference"/>
        </w:rPr>
        <w:footnoteRef/>
      </w:r>
      <w:r>
        <w:t>Вписани в Търговския регистър не по-късно от 3 месеца преди датата на обявяване на процедурата.</w:t>
      </w:r>
    </w:p>
  </w:footnote>
  <w:footnote w:id="25">
    <w:p w:rsidR="000271A2" w:rsidRDefault="000271A2" w:rsidP="00E640EC">
      <w:pPr>
        <w:pStyle w:val="FootnoteText"/>
        <w:jc w:val="both"/>
      </w:pPr>
      <w:r>
        <w:rPr>
          <w:rStyle w:val="FootnoteReference"/>
        </w:rPr>
        <w:footnoteRef/>
      </w:r>
      <w:r>
        <w:t xml:space="preserve"> За целите на настоящите Насоки под „лице с право да представлява кандидата“ следва да се разбира официален представител на предприятието, като проектното предложение не може да се подава от упълномощени лица.</w:t>
      </w:r>
    </w:p>
  </w:footnote>
  <w:footnote w:id="26">
    <w:p w:rsidR="000271A2" w:rsidRDefault="000271A2" w:rsidP="004F4D63">
      <w:pPr>
        <w:pStyle w:val="FootnoteText"/>
        <w:jc w:val="both"/>
      </w:pPr>
      <w:r>
        <w:rPr>
          <w:rStyle w:val="FootnoteReference"/>
        </w:rPr>
        <w:footnoteRef/>
      </w:r>
      <w:r>
        <w:t xml:space="preserve"> </w:t>
      </w:r>
      <w:r w:rsidRPr="00A304A0">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27">
    <w:p w:rsidR="000271A2" w:rsidRDefault="000271A2" w:rsidP="004F4D63">
      <w:pPr>
        <w:pStyle w:val="FootnoteText"/>
        <w:jc w:val="both"/>
      </w:pPr>
      <w:r>
        <w:rPr>
          <w:rStyle w:val="FootnoteReference"/>
        </w:rPr>
        <w:footnoteRef/>
      </w:r>
      <w:r>
        <w:t xml:space="preserve"> </w:t>
      </w:r>
      <w:r w:rsidRPr="000A3EB7">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28">
    <w:p w:rsidR="000271A2" w:rsidRDefault="000271A2" w:rsidP="004F4D63">
      <w:pPr>
        <w:tabs>
          <w:tab w:val="right" w:pos="9720"/>
        </w:tabs>
        <w:spacing w:after="0"/>
        <w:jc w:val="both"/>
        <w:rPr>
          <w:spacing w:val="-2"/>
          <w:sz w:val="20"/>
          <w:szCs w:val="20"/>
        </w:rPr>
      </w:pPr>
      <w:r w:rsidRPr="00690EE3">
        <w:rPr>
          <w:rStyle w:val="FootnoteReference"/>
        </w:rPr>
        <w:footnoteRef/>
      </w:r>
      <w:r>
        <w:t xml:space="preserve"> </w:t>
      </w:r>
      <w:r w:rsidRPr="00972E94">
        <w:rPr>
          <w:spacing w:val="-2"/>
          <w:sz w:val="20"/>
          <w:szCs w:val="20"/>
        </w:rPr>
        <w:t xml:space="preserve">В случай че документите са представени на чужд език, то те задължително следва да бъдат придружени от превод на български език, </w:t>
      </w:r>
      <w:r>
        <w:rPr>
          <w:spacing w:val="-2"/>
          <w:sz w:val="20"/>
          <w:szCs w:val="20"/>
        </w:rPr>
        <w:t>заверен от кандидата</w:t>
      </w:r>
      <w:r w:rsidRPr="00972E94">
        <w:rPr>
          <w:spacing w:val="-2"/>
          <w:sz w:val="20"/>
          <w:szCs w:val="20"/>
        </w:rPr>
        <w:t>.</w:t>
      </w:r>
    </w:p>
    <w:p w:rsidR="000271A2" w:rsidRPr="005E22B9" w:rsidRDefault="000271A2" w:rsidP="004F4D63">
      <w:pPr>
        <w:tabs>
          <w:tab w:val="right" w:pos="9720"/>
        </w:tabs>
        <w:spacing w:after="0"/>
        <w:jc w:val="both"/>
        <w:rPr>
          <w:spacing w:val="-2"/>
          <w:sz w:val="20"/>
          <w:szCs w:val="20"/>
        </w:rPr>
      </w:pPr>
      <w:r w:rsidRPr="005E22B9">
        <w:rPr>
          <w:spacing w:val="-2"/>
          <w:sz w:val="20"/>
          <w:szCs w:val="20"/>
        </w:rPr>
        <w:t>В случаите, в</w:t>
      </w:r>
      <w:r>
        <w:rPr>
          <w:spacing w:val="-2"/>
          <w:sz w:val="20"/>
          <w:szCs w:val="20"/>
        </w:rPr>
        <w:t xml:space="preserve"> които в документите не е упоменато</w:t>
      </w:r>
      <w:r w:rsidRPr="005E22B9">
        <w:rPr>
          <w:spacing w:val="-2"/>
          <w:sz w:val="20"/>
          <w:szCs w:val="20"/>
        </w:rPr>
        <w:t xml:space="preserve"> дали цената е с включено ДДС се счита:</w:t>
      </w:r>
    </w:p>
    <w:p w:rsidR="000271A2" w:rsidRPr="005E22B9" w:rsidRDefault="000271A2" w:rsidP="004F4D63">
      <w:pPr>
        <w:tabs>
          <w:tab w:val="right" w:pos="9720"/>
        </w:tabs>
        <w:spacing w:after="0"/>
        <w:jc w:val="both"/>
        <w:rPr>
          <w:spacing w:val="-2"/>
          <w:sz w:val="20"/>
          <w:szCs w:val="20"/>
        </w:rPr>
      </w:pPr>
      <w:r>
        <w:rPr>
          <w:spacing w:val="-2"/>
          <w:sz w:val="20"/>
          <w:szCs w:val="20"/>
        </w:rPr>
        <w:t xml:space="preserve">- при български доставчици - </w:t>
      </w:r>
      <w:r w:rsidRPr="005E22B9">
        <w:rPr>
          <w:spacing w:val="-2"/>
          <w:sz w:val="20"/>
          <w:szCs w:val="20"/>
        </w:rPr>
        <w:t xml:space="preserve">описаната стойност в офертата е с ДДС, т.е. при изчисление на цената </w:t>
      </w:r>
      <w:r>
        <w:rPr>
          <w:spacing w:val="-2"/>
          <w:sz w:val="20"/>
          <w:szCs w:val="20"/>
        </w:rPr>
        <w:t>е необходимо да се извади ДДС</w:t>
      </w:r>
      <w:r w:rsidRPr="005E22B9">
        <w:rPr>
          <w:spacing w:val="-2"/>
          <w:sz w:val="20"/>
          <w:szCs w:val="20"/>
        </w:rPr>
        <w:t>.</w:t>
      </w:r>
    </w:p>
    <w:p w:rsidR="000271A2" w:rsidRPr="00690EE3" w:rsidRDefault="000271A2">
      <w:pPr>
        <w:tabs>
          <w:tab w:val="right" w:pos="9720"/>
        </w:tabs>
        <w:spacing w:after="0"/>
        <w:jc w:val="both"/>
      </w:pPr>
      <w:r>
        <w:rPr>
          <w:spacing w:val="-2"/>
          <w:sz w:val="20"/>
          <w:szCs w:val="20"/>
        </w:rPr>
        <w:t xml:space="preserve">- при чуждестранни доставчици - </w:t>
      </w:r>
      <w:r w:rsidRPr="005E22B9">
        <w:rPr>
          <w:spacing w:val="-2"/>
          <w:sz w:val="20"/>
          <w:szCs w:val="20"/>
        </w:rPr>
        <w:t>описаната стойност в офертата е без ДДС.</w:t>
      </w:r>
    </w:p>
  </w:footnote>
  <w:footnote w:id="29">
    <w:p w:rsidR="000271A2" w:rsidRDefault="000271A2" w:rsidP="00A25B33">
      <w:pPr>
        <w:pStyle w:val="FootnoteText"/>
        <w:jc w:val="both"/>
      </w:pPr>
      <w:r>
        <w:rPr>
          <w:rStyle w:val="FootnoteReference"/>
        </w:rPr>
        <w:footnoteRef/>
      </w:r>
      <w:r>
        <w:t xml:space="preserve"> </w:t>
      </w:r>
      <w:r w:rsidRPr="00A25B33">
        <w:t>Непредставянето на документа няма да доведе до отхвърляне на проектното предложение, но ще  доведе до редуциране на разходи в бюджета на проектното предложение</w:t>
      </w:r>
      <w:r>
        <w:t xml:space="preserve"> </w:t>
      </w:r>
      <w:r w:rsidRPr="006C18B0">
        <w:t>(т. 5 от Формуляра за кандидатстване)</w:t>
      </w:r>
      <w:r w:rsidRPr="00A25B33">
        <w:t>.</w:t>
      </w:r>
    </w:p>
  </w:footnote>
  <w:footnote w:id="30">
    <w:p w:rsidR="000271A2" w:rsidRDefault="000271A2" w:rsidP="006E7D2F">
      <w:pPr>
        <w:pStyle w:val="FootnoteText"/>
        <w:jc w:val="both"/>
      </w:pPr>
      <w:r w:rsidRPr="00C50907">
        <w:rPr>
          <w:rStyle w:val="FootnoteReference"/>
        </w:rPr>
        <w:footnoteRef/>
      </w:r>
      <w:r w:rsidRPr="00C50907">
        <w:t xml:space="preserve"> Съгласно чл. 32, ал. 3 от Закона за счетоводството „Годишните финансови отчети на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могат да се състоят само от отчет за приходите и разходите”. </w:t>
      </w:r>
      <w:r w:rsidRPr="00D67D94">
        <w:t>В този случай се представя целият отчет за приходите и разходите към Годишния отчет за дейността на кандидата.</w:t>
      </w:r>
    </w:p>
    <w:p w:rsidR="000271A2" w:rsidRPr="00C50907" w:rsidRDefault="000271A2" w:rsidP="006E7D2F">
      <w:pPr>
        <w:pStyle w:val="FootnoteText"/>
        <w:jc w:val="both"/>
      </w:pPr>
      <w:r w:rsidRPr="000A3EB7">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1">
    <w:p w:rsidR="000271A2" w:rsidRDefault="000271A2" w:rsidP="006E7D2F">
      <w:pPr>
        <w:pStyle w:val="FootnoteText"/>
        <w:jc w:val="both"/>
      </w:pPr>
      <w:r w:rsidRPr="00C50907">
        <w:rPr>
          <w:rStyle w:val="FootnoteReference"/>
        </w:rPr>
        <w:footnoteRef/>
      </w:r>
      <w:r w:rsidRPr="00C50907">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C50907">
        <w:t>01</w:t>
      </w:r>
      <w:proofErr w:type="spellEnd"/>
      <w:r w:rsidRPr="00C50907">
        <w:t>.2010 г.).Документът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w:t>
      </w:r>
    </w:p>
    <w:p w:rsidR="000271A2" w:rsidRPr="00C50907" w:rsidRDefault="000271A2" w:rsidP="006E7D2F">
      <w:pPr>
        <w:pStyle w:val="FootnoteText"/>
        <w:jc w:val="both"/>
      </w:pPr>
      <w:r w:rsidRPr="006E14FC">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2">
    <w:p w:rsidR="000271A2" w:rsidRDefault="000271A2" w:rsidP="006E7D2F">
      <w:pPr>
        <w:pStyle w:val="FootnoteText"/>
        <w:jc w:val="both"/>
      </w:pPr>
      <w:r w:rsidRPr="00C50907">
        <w:rPr>
          <w:rStyle w:val="FootnoteReference"/>
        </w:rPr>
        <w:footnoteRef/>
      </w:r>
      <w:r w:rsidRPr="00C50907">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C50907">
        <w:t>01</w:t>
      </w:r>
      <w:proofErr w:type="spellEnd"/>
      <w:r w:rsidRPr="00C50907">
        <w:t xml:space="preserve">.2010 г.). Документът </w:t>
      </w:r>
      <w:r w:rsidRPr="00D67D94">
        <w:t>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 предприятието</w:t>
      </w:r>
      <w:r w:rsidRPr="00686578">
        <w:t xml:space="preserve"> </w:t>
      </w:r>
      <w:r>
        <w:t>към Годишния отчет за дейността на кандидата.</w:t>
      </w:r>
    </w:p>
    <w:p w:rsidR="000271A2" w:rsidRDefault="000271A2" w:rsidP="006E7D2F">
      <w:pPr>
        <w:pStyle w:val="FootnoteText"/>
        <w:jc w:val="both"/>
      </w:pPr>
      <w:r w:rsidRPr="003F18C3">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3">
    <w:p w:rsidR="000271A2" w:rsidRDefault="000271A2" w:rsidP="006E7D2F">
      <w:pPr>
        <w:pStyle w:val="FootnoteText"/>
        <w:jc w:val="both"/>
      </w:pPr>
      <w:r>
        <w:rPr>
          <w:rStyle w:val="FootnoteReference"/>
        </w:rPr>
        <w:footnoteRef/>
      </w:r>
      <w:r>
        <w:t xml:space="preserve"> </w:t>
      </w:r>
      <w:r w:rsidRPr="00735FB9">
        <w:t xml:space="preserve">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w:t>
      </w:r>
      <w:r w:rsidRPr="00083D48">
        <w:t>данъчна декларация подават и Годишен отчет за дейността (в сила от 01.</w:t>
      </w:r>
      <w:proofErr w:type="spellStart"/>
      <w:r w:rsidRPr="00083D48">
        <w:t>01</w:t>
      </w:r>
      <w:proofErr w:type="spellEnd"/>
      <w:r w:rsidRPr="00083D48">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w:t>
      </w:r>
      <w:proofErr w:type="spellStart"/>
      <w:r w:rsidRPr="00083D48">
        <w:t>лв</w:t>
      </w:r>
      <w:proofErr w:type="spellEnd"/>
      <w:r w:rsidRPr="00083D48">
        <w:rPr>
          <w:lang w:val="en-US"/>
        </w:rPr>
        <w:t xml:space="preserve">. </w:t>
      </w:r>
      <w:r w:rsidRPr="00083D48">
        <w:t xml:space="preserve">В този случай се </w:t>
      </w:r>
      <w:r>
        <w:t>представя</w:t>
      </w:r>
      <w:r w:rsidRPr="00083D48">
        <w:t xml:space="preserve"> Справка дълготрайни материални и нематериални активи към Отчета за приходи и разходи.</w:t>
      </w:r>
    </w:p>
    <w:p w:rsidR="000271A2" w:rsidRPr="00083D48" w:rsidRDefault="000271A2" w:rsidP="006E7D2F">
      <w:pPr>
        <w:pStyle w:val="FootnoteText"/>
        <w:jc w:val="both"/>
      </w:pPr>
      <w:r w:rsidRPr="005A0BD2">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4">
    <w:p w:rsidR="000271A2" w:rsidRDefault="000271A2" w:rsidP="006E7D2F">
      <w:pPr>
        <w:pStyle w:val="FootnoteText"/>
        <w:jc w:val="both"/>
      </w:pPr>
      <w:r w:rsidRPr="00083D48">
        <w:rPr>
          <w:rStyle w:val="FootnoteReference"/>
        </w:rPr>
        <w:footnoteRef/>
      </w:r>
      <w:r w:rsidRPr="00083D48">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083D48">
        <w:t>01</w:t>
      </w:r>
      <w:proofErr w:type="spellEnd"/>
      <w:r w:rsidRPr="00083D48">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w:t>
      </w:r>
      <w:proofErr w:type="spellStart"/>
      <w:r w:rsidRPr="00083D48">
        <w:t>лв</w:t>
      </w:r>
      <w:proofErr w:type="spellEnd"/>
      <w:r w:rsidRPr="00083D48">
        <w:rPr>
          <w:lang w:val="en-US"/>
        </w:rPr>
        <w:t xml:space="preserve">. </w:t>
      </w:r>
      <w:r w:rsidRPr="00083D48">
        <w:t xml:space="preserve">В този случай се </w:t>
      </w:r>
      <w:proofErr w:type="spellStart"/>
      <w:r>
        <w:t>предстаавя</w:t>
      </w:r>
      <w:proofErr w:type="spellEnd"/>
      <w:r w:rsidRPr="00083D48">
        <w:t xml:space="preserve"> Справка заети лица към Отчета за приходи и разходи</w:t>
      </w:r>
      <w:r>
        <w:t xml:space="preserve"> към Годишния отчет за дейността</w:t>
      </w:r>
      <w:r w:rsidRPr="00083D48">
        <w:t>.</w:t>
      </w:r>
    </w:p>
    <w:p w:rsidR="000271A2" w:rsidRDefault="000271A2" w:rsidP="006E7D2F">
      <w:pPr>
        <w:pStyle w:val="FootnoteText"/>
        <w:jc w:val="both"/>
      </w:pPr>
      <w:r w:rsidRPr="0035006A">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r>
        <w:t>.</w:t>
      </w:r>
    </w:p>
  </w:footnote>
  <w:footnote w:id="35">
    <w:p w:rsidR="000271A2" w:rsidRPr="008C19B7" w:rsidRDefault="000271A2" w:rsidP="007E22FB">
      <w:pPr>
        <w:jc w:val="both"/>
        <w:rPr>
          <w:highlight w:val="lightGray"/>
        </w:rPr>
      </w:pPr>
      <w:r w:rsidRPr="002249B3">
        <w:rPr>
          <w:rStyle w:val="FootnoteReference"/>
          <w:sz w:val="20"/>
          <w:szCs w:val="20"/>
        </w:rPr>
        <w:footnoteRef/>
      </w:r>
      <w:r w:rsidRPr="002249B3">
        <w:rPr>
          <w:sz w:val="20"/>
          <w:szCs w:val="20"/>
        </w:rPr>
        <w:t xml:space="preserve"> По процедурите за безвъзмездна помощ, започването на работата по инвестицията най-често е датата на сключване на първия договор с доставчика за придобиване на съответния актив. В случай че кандидата предвижда да сключи договор с доставчика на актива </w:t>
      </w:r>
      <w:r w:rsidRPr="002249B3">
        <w:rPr>
          <w:b/>
          <w:sz w:val="20"/>
          <w:szCs w:val="20"/>
        </w:rPr>
        <w:t>през 2016 г.</w:t>
      </w:r>
      <w:r w:rsidRPr="002249B3">
        <w:rPr>
          <w:sz w:val="20"/>
          <w:szCs w:val="20"/>
        </w:rPr>
        <w:t xml:space="preserve">, тогава, той трябва да приложи данъчен амортизационен план за </w:t>
      </w:r>
      <w:r w:rsidRPr="002249B3">
        <w:rPr>
          <w:b/>
          <w:sz w:val="20"/>
          <w:szCs w:val="20"/>
        </w:rPr>
        <w:t>2013, 2014 и 2015 години</w:t>
      </w:r>
      <w:r w:rsidRPr="002249B3">
        <w:rPr>
          <w:sz w:val="20"/>
          <w:szCs w:val="20"/>
        </w:rPr>
        <w:t xml:space="preserve">, но ако предвижда сключване на договора </w:t>
      </w:r>
      <w:r w:rsidRPr="002249B3">
        <w:rPr>
          <w:b/>
          <w:sz w:val="20"/>
          <w:szCs w:val="20"/>
        </w:rPr>
        <w:t>например през 2017 г.</w:t>
      </w:r>
      <w:r w:rsidRPr="002249B3">
        <w:rPr>
          <w:sz w:val="20"/>
          <w:szCs w:val="20"/>
        </w:rPr>
        <w:t xml:space="preserve">,  следва да приложи данъчен амортизационен план </w:t>
      </w:r>
      <w:r w:rsidRPr="002249B3">
        <w:rPr>
          <w:b/>
          <w:sz w:val="20"/>
          <w:szCs w:val="20"/>
        </w:rPr>
        <w:t xml:space="preserve">за 2014 и 2015 г. </w:t>
      </w:r>
      <w:r w:rsidRPr="002249B3">
        <w:rPr>
          <w:sz w:val="20"/>
          <w:szCs w:val="20"/>
        </w:rPr>
        <w:t xml:space="preserve">и да попълни </w:t>
      </w:r>
      <w:r w:rsidRPr="002249B3">
        <w:rPr>
          <w:b/>
          <w:sz w:val="20"/>
          <w:szCs w:val="20"/>
        </w:rPr>
        <w:t>прогнозни стойности за 2016 г., в Справката-декларация по Приложение Ъ.</w:t>
      </w:r>
    </w:p>
  </w:footnote>
  <w:footnote w:id="36">
    <w:p w:rsidR="000271A2" w:rsidRDefault="000271A2" w:rsidP="002249B3">
      <w:pPr>
        <w:pStyle w:val="FootnoteText"/>
        <w:jc w:val="both"/>
      </w:pPr>
      <w:r w:rsidRPr="00F25E9D">
        <w:rPr>
          <w:rStyle w:val="FootnoteReference"/>
        </w:rPr>
        <w:footnoteRef/>
      </w:r>
      <w:r w:rsidRPr="00F25E9D">
        <w:t xml:space="preserve"> По процедурите за безвъзмездна помощ, започването на работата по инвестицията най-често е датата на сключване на първия договор с доставчика за придобиване на съответния актив. В случай че към датата на подаване на проектното предложение, се предвижда работата по инвестицията </w:t>
      </w:r>
      <w:r w:rsidRPr="00F25E9D">
        <w:rPr>
          <w:b/>
        </w:rPr>
        <w:t>да започне през 2016 г.</w:t>
      </w:r>
      <w:r w:rsidRPr="00F25E9D">
        <w:t xml:space="preserve"> следва да се приложи </w:t>
      </w:r>
      <w:r w:rsidRPr="00F25E9D">
        <w:rPr>
          <w:b/>
        </w:rPr>
        <w:t>счетоводния амортизационен план за 2015 г.</w:t>
      </w:r>
      <w:r w:rsidRPr="00F25E9D">
        <w:t xml:space="preserve"> В случай че кандидатът предвижда работата по инвестицията да започне след 2016,  не прилага счетоводен амортизационен план, но посочва прогнозна балансова стойност на активите, изчислена съобразно счетоводната политика на кандидата</w:t>
      </w:r>
      <w:r w:rsidRPr="00F25E9D">
        <w:rPr>
          <w:b/>
        </w:rPr>
        <w:t xml:space="preserve"> в Справката-декларация по Приложение Ъ</w:t>
      </w:r>
      <w:r w:rsidRPr="00F25E9D">
        <w:t xml:space="preserve">. Например </w:t>
      </w:r>
      <w:r w:rsidRPr="00F25E9D">
        <w:rPr>
          <w:u w:val="single"/>
        </w:rPr>
        <w:t>при започване на работата през 2017 г., кандидатът следва да посочи</w:t>
      </w:r>
      <w:r w:rsidRPr="00F25E9D">
        <w:t xml:space="preserve"> прогнозна балансова стойност към 31.12.2016 г.</w:t>
      </w:r>
      <w:r w:rsidRPr="00F25E9D">
        <w:rPr>
          <w:b/>
        </w:rPr>
        <w:t xml:space="preserve"> в Справката-декларация по Приложение Ъ. </w:t>
      </w:r>
      <w:r w:rsidRPr="00F25E9D">
        <w:t xml:space="preserve"> В случай че актива </w:t>
      </w:r>
      <w:r w:rsidRPr="00F25E9D">
        <w:rPr>
          <w:b/>
        </w:rPr>
        <w:t>е земя</w:t>
      </w:r>
      <w:r w:rsidRPr="00F25E9D">
        <w:t>, балансовата стойност се декларира от кандидата</w:t>
      </w:r>
      <w:r w:rsidRPr="00F25E9D">
        <w:rPr>
          <w:b/>
        </w:rPr>
        <w:t xml:space="preserve"> в Справката-декларация по Приложение Ъ</w:t>
      </w:r>
      <w:r w:rsidRPr="00F25E9D">
        <w:t>.</w:t>
      </w:r>
    </w:p>
  </w:footnote>
  <w:footnote w:id="37">
    <w:p w:rsidR="000271A2" w:rsidRDefault="000271A2" w:rsidP="00BE4838">
      <w:pPr>
        <w:pStyle w:val="FootnoteText"/>
        <w:jc w:val="both"/>
      </w:pPr>
      <w:r>
        <w:rPr>
          <w:rStyle w:val="FootnoteReference"/>
        </w:rPr>
        <w:footnoteRef/>
      </w:r>
      <w:r>
        <w:t xml:space="preserve"> </w:t>
      </w:r>
      <w:r w:rsidRPr="00736B08">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8">
    <w:p w:rsidR="000271A2" w:rsidRDefault="000271A2">
      <w:pPr>
        <w:pStyle w:val="FootnoteText"/>
      </w:pPr>
      <w:r>
        <w:rPr>
          <w:rStyle w:val="FootnoteReference"/>
        </w:rPr>
        <w:footnoteRef/>
      </w:r>
      <w:r>
        <w:t xml:space="preserve"> </w:t>
      </w:r>
      <w:r w:rsidRPr="00736B08">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footnote>
  <w:footnote w:id="39">
    <w:p w:rsidR="000271A2" w:rsidRDefault="000271A2" w:rsidP="00B7184D">
      <w:pPr>
        <w:pStyle w:val="FootnoteText"/>
        <w:jc w:val="both"/>
      </w:pPr>
      <w:r>
        <w:rPr>
          <w:rStyle w:val="FootnoteReference"/>
        </w:rPr>
        <w:footnoteRef/>
      </w:r>
      <w:r>
        <w:t xml:space="preserve"> 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40">
    <w:p w:rsidR="000271A2" w:rsidRDefault="000271A2" w:rsidP="001E3081">
      <w:pPr>
        <w:pStyle w:val="FootnoteText"/>
        <w:jc w:val="both"/>
      </w:pPr>
      <w:r>
        <w:rPr>
          <w:rStyle w:val="FootnoteReference"/>
        </w:rPr>
        <w:footnoteRef/>
      </w:r>
      <w:r>
        <w:t xml:space="preserve"> В случай че</w:t>
      </w:r>
      <w:r w:rsidRPr="00E44547">
        <w:t xml:space="preserve">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footnote>
  <w:footnote w:id="41">
    <w:p w:rsidR="000271A2" w:rsidRDefault="000271A2" w:rsidP="00BA13AC">
      <w:pPr>
        <w:pStyle w:val="FootnoteText"/>
        <w:jc w:val="both"/>
      </w:pPr>
      <w:r>
        <w:rPr>
          <w:rStyle w:val="FootnoteReference"/>
        </w:rPr>
        <w:footnoteRef/>
      </w:r>
      <w:r>
        <w:t xml:space="preserve"> </w:t>
      </w:r>
      <w:r w:rsidRPr="005B4901">
        <w:t>Съгласно чл. 32, ал. 3 от Закона за счетоводството „Годишните финансови отчети на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могат да се състоят само от отчет за приходите и разходите”.</w:t>
      </w:r>
      <w:r>
        <w:t>В този случай се представя</w:t>
      </w:r>
      <w:r w:rsidRPr="00A36C1D">
        <w:t xml:space="preserve"> целият отчет за приходите и разходите към Годишния отчет за дейността на кандидата.</w:t>
      </w:r>
    </w:p>
  </w:footnote>
  <w:footnote w:id="42">
    <w:p w:rsidR="000271A2" w:rsidRDefault="000271A2" w:rsidP="00BA13AC">
      <w:pPr>
        <w:pStyle w:val="FootnoteText"/>
        <w:jc w:val="both"/>
      </w:pPr>
      <w:r>
        <w:rPr>
          <w:rStyle w:val="FootnoteReference"/>
        </w:rPr>
        <w:footnoteRef/>
      </w:r>
      <w:r>
        <w:t xml:space="preserve"> </w:t>
      </w:r>
      <w:r w:rsidRPr="005B4901">
        <w:t>Когато кандидат</w:t>
      </w:r>
      <w:r>
        <w:t>ът</w:t>
      </w:r>
      <w:r w:rsidRPr="005B4901">
        <w:t xml:space="preserve">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последната приключена финансова година</w:t>
      </w:r>
      <w:r>
        <w:t>.</w:t>
      </w:r>
    </w:p>
  </w:footnote>
  <w:footnote w:id="43">
    <w:p w:rsidR="000271A2" w:rsidRDefault="000271A2">
      <w:pPr>
        <w:pStyle w:val="FootnoteText"/>
      </w:pPr>
      <w:r>
        <w:rPr>
          <w:rStyle w:val="FootnoteReference"/>
        </w:rPr>
        <w:footnoteRef/>
      </w:r>
      <w:r>
        <w:t xml:space="preserve"> </w:t>
      </w:r>
      <w:r w:rsidRPr="00083D48">
        <w:t>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083D48">
        <w:t>01</w:t>
      </w:r>
      <w:proofErr w:type="spellEnd"/>
      <w:r w:rsidRPr="00083D48">
        <w:t xml:space="preserve">.2010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w:t>
      </w:r>
      <w:proofErr w:type="spellStart"/>
      <w:r w:rsidRPr="00083D48">
        <w:t>лв</w:t>
      </w:r>
      <w:proofErr w:type="spellEnd"/>
      <w:r w:rsidRPr="00083D48">
        <w:rPr>
          <w:lang w:val="en-US"/>
        </w:rPr>
        <w:t xml:space="preserve">. </w:t>
      </w:r>
      <w:r w:rsidRPr="00083D48">
        <w:t xml:space="preserve">В този случай се </w:t>
      </w:r>
      <w:r>
        <w:t>представя</w:t>
      </w:r>
      <w:r w:rsidRPr="00083D48">
        <w:t xml:space="preserve"> Справка заети лица към Отчета за приходи и разходи</w:t>
      </w:r>
      <w:r>
        <w:t xml:space="preserve"> към Годишния отчет за дейността</w:t>
      </w:r>
      <w:r w:rsidRPr="00083D48">
        <w:t>.</w:t>
      </w:r>
    </w:p>
  </w:footnote>
  <w:footnote w:id="44">
    <w:p w:rsidR="000271A2" w:rsidRDefault="000271A2" w:rsidP="00ED2126">
      <w:pPr>
        <w:pStyle w:val="FootnoteText"/>
      </w:pPr>
      <w:r>
        <w:rPr>
          <w:rStyle w:val="FootnoteReference"/>
        </w:rPr>
        <w:footnoteRef/>
      </w:r>
      <w:r>
        <w:t xml:space="preserve"> Съгласно чл. 32, ал. 3 от Закона за счетоводството документът не се изисква за предприятия</w:t>
      </w:r>
      <w:r w:rsidRPr="00085A05">
        <w:t xml:space="preserve">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w:t>
      </w:r>
    </w:p>
  </w:footnote>
  <w:footnote w:id="45">
    <w:p w:rsidR="000271A2" w:rsidRDefault="000271A2" w:rsidP="007D064B">
      <w:pPr>
        <w:pStyle w:val="FootnoteText"/>
        <w:tabs>
          <w:tab w:val="left" w:pos="1830"/>
        </w:tabs>
        <w:jc w:val="both"/>
      </w:pPr>
      <w:r>
        <w:rPr>
          <w:rStyle w:val="FootnoteReference"/>
        </w:rPr>
        <w:footnoteRef/>
      </w:r>
      <w:r>
        <w:t xml:space="preserve"> При междинно/окончателно плащане се извършва проверка</w:t>
      </w:r>
      <w:r w:rsidRPr="004B48C5">
        <w:rPr>
          <w:bCs/>
          <w:lang w:eastAsia="fr-FR"/>
        </w:rPr>
        <w:t xml:space="preserve"> </w:t>
      </w:r>
      <w:r>
        <w:rPr>
          <w:bCs/>
          <w:lang w:eastAsia="fr-FR"/>
        </w:rPr>
        <w:t>дали с</w:t>
      </w:r>
      <w:r w:rsidRPr="00F65FBE">
        <w:rPr>
          <w:bCs/>
          <w:lang w:eastAsia="fr-FR"/>
        </w:rPr>
        <w:t>контираната стойност на безвъзмездната помощ към сконтираната стойност на допустимите разходи е в рамките на допустимия интензитет</w:t>
      </w:r>
      <w:r>
        <w:rPr>
          <w:bCs/>
          <w:lang w:eastAsia="fr-FR"/>
        </w:rPr>
        <w:t xml:space="preserve"> при прилагане на следната формула:</w:t>
      </w:r>
      <w:r w:rsidRPr="004B48C5">
        <w:t xml:space="preserve"> </w:t>
      </w:r>
      <w:r w:rsidRPr="004B48C5">
        <w:rPr>
          <w:bCs/>
          <w:lang w:eastAsia="fr-FR"/>
        </w:rPr>
        <w:t>PV = FV/(1+i) , където PV е сконтирана стойност, FV е реална стойност,  i е лихвеният процент, а t – периода на изпълнение в години</w:t>
      </w:r>
      <w:r>
        <w:rPr>
          <w:bCs/>
          <w:lang w:eastAsia="fr-FR"/>
        </w:rPr>
        <w:t>.</w:t>
      </w:r>
    </w:p>
    <w:p w:rsidR="000271A2" w:rsidRDefault="000271A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jc w:val="center"/>
      <w:tblInd w:w="70" w:type="dxa"/>
      <w:tblCellMar>
        <w:left w:w="70" w:type="dxa"/>
        <w:right w:w="70" w:type="dxa"/>
      </w:tblCellMar>
      <w:tblLook w:val="04A0" w:firstRow="1" w:lastRow="0" w:firstColumn="1" w:lastColumn="0" w:noHBand="0" w:noVBand="1"/>
    </w:tblPr>
    <w:tblGrid>
      <w:gridCol w:w="10290"/>
      <w:gridCol w:w="146"/>
      <w:gridCol w:w="146"/>
    </w:tblGrid>
    <w:tr w:rsidR="000271A2" w:rsidRPr="00247CD6" w:rsidTr="004D16D6">
      <w:trPr>
        <w:trHeight w:val="713"/>
        <w:jc w:val="center"/>
      </w:trPr>
      <w:tc>
        <w:tcPr>
          <w:tcW w:w="3537" w:type="dxa"/>
          <w:hideMark/>
        </w:tcPr>
        <w:tbl>
          <w:tblPr>
            <w:tblW w:w="10080" w:type="dxa"/>
            <w:jc w:val="center"/>
            <w:tblInd w:w="70" w:type="dxa"/>
            <w:tblCellMar>
              <w:left w:w="70" w:type="dxa"/>
              <w:right w:w="70" w:type="dxa"/>
            </w:tblCellMar>
            <w:tblLook w:val="0000" w:firstRow="0" w:lastRow="0" w:firstColumn="0" w:lastColumn="0" w:noHBand="0" w:noVBand="0"/>
          </w:tblPr>
          <w:tblGrid>
            <w:gridCol w:w="3530"/>
            <w:gridCol w:w="2420"/>
            <w:gridCol w:w="4130"/>
          </w:tblGrid>
          <w:tr w:rsidR="000271A2" w:rsidRPr="004D16D6" w:rsidTr="00FC7BF9">
            <w:trPr>
              <w:trHeight w:val="1425"/>
              <w:jc w:val="center"/>
            </w:trPr>
            <w:tc>
              <w:tcPr>
                <w:tcW w:w="3530" w:type="dxa"/>
              </w:tcPr>
              <w:p w:rsidR="000271A2" w:rsidRPr="004D16D6" w:rsidRDefault="000271A2" w:rsidP="004D16D6">
                <w:pPr>
                  <w:tabs>
                    <w:tab w:val="center" w:pos="4703"/>
                    <w:tab w:val="right" w:pos="9406"/>
                  </w:tabs>
                  <w:spacing w:before="100" w:beforeAutospacing="1" w:after="100" w:afterAutospacing="1" w:line="240" w:lineRule="auto"/>
                  <w:rPr>
                    <w:rFonts w:ascii="Calibri" w:eastAsia="Calibri" w:hAnsi="Calibri" w:cs="Times New Roman"/>
                    <w:b/>
                    <w:i/>
                    <w:noProof/>
                    <w:sz w:val="20"/>
                    <w:szCs w:val="20"/>
                    <w:lang w:val="en-GB" w:eastAsia="bg-BG"/>
                  </w:rPr>
                </w:pPr>
                <w:r w:rsidRPr="004D16D6">
                  <w:rPr>
                    <w:rFonts w:ascii="Calibri" w:eastAsia="Calibri" w:hAnsi="Calibri" w:cs="Times New Roman"/>
                    <w:b/>
                    <w:i/>
                    <w:noProof/>
                    <w:sz w:val="20"/>
                    <w:szCs w:val="20"/>
                    <w:lang w:val="en-GB" w:eastAsia="bg-BG"/>
                  </w:rPr>
                  <w:t xml:space="preserve">    </w:t>
                </w:r>
                <w:r w:rsidRPr="004D16D6">
                  <w:rPr>
                    <w:rFonts w:ascii="Calibri" w:eastAsia="Calibri" w:hAnsi="Calibri" w:cs="Times New Roman"/>
                    <w:noProof/>
                    <w:sz w:val="20"/>
                    <w:szCs w:val="20"/>
                    <w:lang w:eastAsia="bg-BG"/>
                  </w:rPr>
                  <w:drawing>
                    <wp:inline distT="0" distB="0" distL="0" distR="0" wp14:anchorId="79682B3D" wp14:editId="2C4FC3AA">
                      <wp:extent cx="1123950" cy="1000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tc>
            <w:tc>
              <w:tcPr>
                <w:tcW w:w="2420" w:type="dxa"/>
              </w:tcPr>
              <w:p w:rsidR="000271A2" w:rsidRPr="004D16D6" w:rsidRDefault="000271A2" w:rsidP="004D16D6">
                <w:pPr>
                  <w:tabs>
                    <w:tab w:val="center" w:pos="4703"/>
                    <w:tab w:val="right" w:pos="9406"/>
                  </w:tabs>
                  <w:spacing w:after="0" w:line="240" w:lineRule="auto"/>
                  <w:rPr>
                    <w:rFonts w:ascii="Calibri" w:eastAsia="Calibri" w:hAnsi="Calibri" w:cs="Times New Roman"/>
                    <w:noProof/>
                    <w:lang w:val="en-US" w:eastAsia="bg-BG"/>
                  </w:rPr>
                </w:pPr>
                <w:r w:rsidRPr="004D16D6">
                  <w:rPr>
                    <w:rFonts w:ascii="Calibri" w:eastAsia="Calibri" w:hAnsi="Calibri" w:cs="Times New Roman"/>
                    <w:noProof/>
                    <w:lang w:val="en-US" w:eastAsia="bg-BG"/>
                  </w:rPr>
                  <w:t xml:space="preserve">                                                  </w:t>
                </w:r>
              </w:p>
            </w:tc>
            <w:tc>
              <w:tcPr>
                <w:tcW w:w="4130" w:type="dxa"/>
              </w:tcPr>
              <w:p w:rsidR="000271A2" w:rsidRPr="004D16D6" w:rsidRDefault="000271A2" w:rsidP="004D16D6">
                <w:pPr>
                  <w:tabs>
                    <w:tab w:val="center" w:pos="4703"/>
                    <w:tab w:val="right" w:pos="9406"/>
                  </w:tabs>
                  <w:spacing w:after="0" w:line="240" w:lineRule="auto"/>
                  <w:rPr>
                    <w:rFonts w:ascii="Calibri" w:eastAsia="Calibri" w:hAnsi="Calibri" w:cs="Times New Roman"/>
                    <w:noProof/>
                    <w:lang w:eastAsia="bg-BG"/>
                  </w:rPr>
                </w:pPr>
                <w:r w:rsidRPr="004D16D6">
                  <w:rPr>
                    <w:rFonts w:ascii="Calibri" w:eastAsia="Calibri" w:hAnsi="Calibri" w:cs="Times New Roman"/>
                    <w:noProof/>
                    <w:lang w:eastAsia="bg-BG"/>
                  </w:rPr>
                  <w:drawing>
                    <wp:inline distT="0" distB="0" distL="0" distR="0" wp14:anchorId="0B121805" wp14:editId="50302153">
                      <wp:extent cx="20478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2047875" cy="933450"/>
                              </a:xfrm>
                              <a:prstGeom prst="rect">
                                <a:avLst/>
                              </a:prstGeom>
                              <a:noFill/>
                              <a:ln>
                                <a:noFill/>
                              </a:ln>
                            </pic:spPr>
                          </pic:pic>
                        </a:graphicData>
                      </a:graphic>
                    </wp:inline>
                  </w:drawing>
                </w:r>
              </w:p>
            </w:tc>
          </w:tr>
        </w:tbl>
        <w:p w:rsidR="000271A2" w:rsidRPr="00247CD6" w:rsidRDefault="000271A2" w:rsidP="004D16D6">
          <w:pPr>
            <w:snapToGrid w:val="0"/>
            <w:spacing w:after="0"/>
            <w:rPr>
              <w:b/>
              <w:i/>
              <w:sz w:val="12"/>
              <w:szCs w:val="12"/>
            </w:rPr>
          </w:pPr>
        </w:p>
      </w:tc>
      <w:tc>
        <w:tcPr>
          <w:tcW w:w="2430" w:type="dxa"/>
        </w:tcPr>
        <w:p w:rsidR="000271A2" w:rsidRPr="00247CD6" w:rsidRDefault="000271A2" w:rsidP="004D16D6">
          <w:pPr>
            <w:snapToGrid w:val="0"/>
            <w:spacing w:after="0"/>
            <w:jc w:val="center"/>
            <w:rPr>
              <w:lang w:val="en-US"/>
            </w:rPr>
          </w:pPr>
        </w:p>
      </w:tc>
      <w:tc>
        <w:tcPr>
          <w:tcW w:w="4113" w:type="dxa"/>
          <w:hideMark/>
        </w:tcPr>
        <w:p w:rsidR="000271A2" w:rsidRPr="00247CD6" w:rsidRDefault="000271A2" w:rsidP="004D16D6">
          <w:pPr>
            <w:snapToGrid w:val="0"/>
            <w:spacing w:after="0"/>
            <w:jc w:val="center"/>
          </w:pPr>
        </w:p>
      </w:tc>
    </w:tr>
  </w:tbl>
  <w:p w:rsidR="000271A2" w:rsidRPr="004D16D6" w:rsidRDefault="000271A2" w:rsidP="00047D34">
    <w:pPr>
      <w:pStyle w:val="Header"/>
      <w:tabs>
        <w:tab w:val="clear" w:pos="4536"/>
        <w:tab w:val="clear" w:pos="9072"/>
        <w:tab w:val="left" w:pos="582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2E3526D"/>
    <w:multiLevelType w:val="hybridMultilevel"/>
    <w:tmpl w:val="A08A5D06"/>
    <w:lvl w:ilvl="0" w:tplc="2AA43B3A">
      <w:start w:val="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9">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6A00985"/>
    <w:multiLevelType w:val="hybridMultilevel"/>
    <w:tmpl w:val="AA32AB3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0">
    <w:nsid w:val="777629C8"/>
    <w:multiLevelType w:val="hybridMultilevel"/>
    <w:tmpl w:val="D61A5CFC"/>
    <w:lvl w:ilvl="0" w:tplc="33268C0A">
      <w:start w:val="4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26"/>
  </w:num>
  <w:num w:numId="4">
    <w:abstractNumId w:val="10"/>
  </w:num>
  <w:num w:numId="5">
    <w:abstractNumId w:val="27"/>
  </w:num>
  <w:num w:numId="6">
    <w:abstractNumId w:val="16"/>
  </w:num>
  <w:num w:numId="7">
    <w:abstractNumId w:val="11"/>
  </w:num>
  <w:num w:numId="8">
    <w:abstractNumId w:val="6"/>
  </w:num>
  <w:num w:numId="9">
    <w:abstractNumId w:val="23"/>
  </w:num>
  <w:num w:numId="10">
    <w:abstractNumId w:val="8"/>
  </w:num>
  <w:num w:numId="11">
    <w:abstractNumId w:val="4"/>
  </w:num>
  <w:num w:numId="12">
    <w:abstractNumId w:val="29"/>
  </w:num>
  <w:num w:numId="13">
    <w:abstractNumId w:val="9"/>
  </w:num>
  <w:num w:numId="14">
    <w:abstractNumId w:val="28"/>
  </w:num>
  <w:num w:numId="15">
    <w:abstractNumId w:val="19"/>
  </w:num>
  <w:num w:numId="16">
    <w:abstractNumId w:val="17"/>
  </w:num>
  <w:num w:numId="17">
    <w:abstractNumId w:val="7"/>
  </w:num>
  <w:num w:numId="18">
    <w:abstractNumId w:val="14"/>
  </w:num>
  <w:num w:numId="19">
    <w:abstractNumId w:val="1"/>
  </w:num>
  <w:num w:numId="20">
    <w:abstractNumId w:val="18"/>
  </w:num>
  <w:num w:numId="21">
    <w:abstractNumId w:val="21"/>
  </w:num>
  <w:num w:numId="22">
    <w:abstractNumId w:val="3"/>
  </w:num>
  <w:num w:numId="23">
    <w:abstractNumId w:val="30"/>
  </w:num>
  <w:num w:numId="24">
    <w:abstractNumId w:val="22"/>
  </w:num>
  <w:num w:numId="25">
    <w:abstractNumId w:val="13"/>
  </w:num>
  <w:num w:numId="26">
    <w:abstractNumId w:val="31"/>
  </w:num>
  <w:num w:numId="27">
    <w:abstractNumId w:val="2"/>
  </w:num>
  <w:num w:numId="28">
    <w:abstractNumId w:val="20"/>
  </w:num>
  <w:num w:numId="29">
    <w:abstractNumId w:val="12"/>
  </w:num>
  <w:num w:numId="30">
    <w:abstractNumId w:val="25"/>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392"/>
    <w:rsid w:val="0000042F"/>
    <w:rsid w:val="000005A3"/>
    <w:rsid w:val="000006BD"/>
    <w:rsid w:val="00000A38"/>
    <w:rsid w:val="00000AD1"/>
    <w:rsid w:val="00000B14"/>
    <w:rsid w:val="00000FD2"/>
    <w:rsid w:val="00000FFD"/>
    <w:rsid w:val="000024C4"/>
    <w:rsid w:val="00004A95"/>
    <w:rsid w:val="00004C96"/>
    <w:rsid w:val="00004FC4"/>
    <w:rsid w:val="00005D80"/>
    <w:rsid w:val="00006551"/>
    <w:rsid w:val="00006D65"/>
    <w:rsid w:val="000073E4"/>
    <w:rsid w:val="00007903"/>
    <w:rsid w:val="00007F7E"/>
    <w:rsid w:val="00010A70"/>
    <w:rsid w:val="00010DB6"/>
    <w:rsid w:val="000115A9"/>
    <w:rsid w:val="00012333"/>
    <w:rsid w:val="00012817"/>
    <w:rsid w:val="00012C73"/>
    <w:rsid w:val="00013F17"/>
    <w:rsid w:val="00013FB4"/>
    <w:rsid w:val="000141FD"/>
    <w:rsid w:val="00014B32"/>
    <w:rsid w:val="000159E5"/>
    <w:rsid w:val="000168B4"/>
    <w:rsid w:val="00016E82"/>
    <w:rsid w:val="00017D3F"/>
    <w:rsid w:val="00017E07"/>
    <w:rsid w:val="00017F9C"/>
    <w:rsid w:val="0002003E"/>
    <w:rsid w:val="000215FE"/>
    <w:rsid w:val="0002165A"/>
    <w:rsid w:val="00022041"/>
    <w:rsid w:val="00023432"/>
    <w:rsid w:val="0002352D"/>
    <w:rsid w:val="000239A1"/>
    <w:rsid w:val="00025472"/>
    <w:rsid w:val="000257CC"/>
    <w:rsid w:val="00025A88"/>
    <w:rsid w:val="000266EB"/>
    <w:rsid w:val="00026CDC"/>
    <w:rsid w:val="000271A2"/>
    <w:rsid w:val="000302E7"/>
    <w:rsid w:val="000308ED"/>
    <w:rsid w:val="00030BBB"/>
    <w:rsid w:val="000311E1"/>
    <w:rsid w:val="0003166C"/>
    <w:rsid w:val="00031D4A"/>
    <w:rsid w:val="000320B9"/>
    <w:rsid w:val="00032AB7"/>
    <w:rsid w:val="0003305B"/>
    <w:rsid w:val="00033307"/>
    <w:rsid w:val="00033D00"/>
    <w:rsid w:val="00033F65"/>
    <w:rsid w:val="00035958"/>
    <w:rsid w:val="000373A4"/>
    <w:rsid w:val="00040036"/>
    <w:rsid w:val="000404C9"/>
    <w:rsid w:val="0004194F"/>
    <w:rsid w:val="00041F72"/>
    <w:rsid w:val="000426FA"/>
    <w:rsid w:val="00042AE4"/>
    <w:rsid w:val="00043532"/>
    <w:rsid w:val="00043A75"/>
    <w:rsid w:val="00043EE5"/>
    <w:rsid w:val="00043FD0"/>
    <w:rsid w:val="00044D20"/>
    <w:rsid w:val="000450B6"/>
    <w:rsid w:val="0004538D"/>
    <w:rsid w:val="00045A02"/>
    <w:rsid w:val="00045D28"/>
    <w:rsid w:val="0004629F"/>
    <w:rsid w:val="0004655C"/>
    <w:rsid w:val="000478D0"/>
    <w:rsid w:val="00047D34"/>
    <w:rsid w:val="00047DB5"/>
    <w:rsid w:val="0005088E"/>
    <w:rsid w:val="00050AA5"/>
    <w:rsid w:val="00050AC6"/>
    <w:rsid w:val="00051141"/>
    <w:rsid w:val="00051573"/>
    <w:rsid w:val="00051B15"/>
    <w:rsid w:val="00051DFF"/>
    <w:rsid w:val="00052675"/>
    <w:rsid w:val="0005277F"/>
    <w:rsid w:val="0005297C"/>
    <w:rsid w:val="00052D1E"/>
    <w:rsid w:val="00054164"/>
    <w:rsid w:val="000552F2"/>
    <w:rsid w:val="000553B8"/>
    <w:rsid w:val="00055B0D"/>
    <w:rsid w:val="00055F2D"/>
    <w:rsid w:val="0005635C"/>
    <w:rsid w:val="000577ED"/>
    <w:rsid w:val="00057A06"/>
    <w:rsid w:val="00060961"/>
    <w:rsid w:val="00060F41"/>
    <w:rsid w:val="000643CC"/>
    <w:rsid w:val="00064B4A"/>
    <w:rsid w:val="00064DBE"/>
    <w:rsid w:val="00064DD8"/>
    <w:rsid w:val="00064F0E"/>
    <w:rsid w:val="0006540B"/>
    <w:rsid w:val="00066779"/>
    <w:rsid w:val="00066C64"/>
    <w:rsid w:val="00066C72"/>
    <w:rsid w:val="00066EFB"/>
    <w:rsid w:val="00067EFA"/>
    <w:rsid w:val="0007015D"/>
    <w:rsid w:val="0007018C"/>
    <w:rsid w:val="000706DA"/>
    <w:rsid w:val="00074F2E"/>
    <w:rsid w:val="00076E10"/>
    <w:rsid w:val="0008036F"/>
    <w:rsid w:val="00080814"/>
    <w:rsid w:val="00081413"/>
    <w:rsid w:val="00082D6C"/>
    <w:rsid w:val="000839A0"/>
    <w:rsid w:val="00083D48"/>
    <w:rsid w:val="00083DBB"/>
    <w:rsid w:val="00084017"/>
    <w:rsid w:val="00084275"/>
    <w:rsid w:val="00085A05"/>
    <w:rsid w:val="00086E45"/>
    <w:rsid w:val="00087E20"/>
    <w:rsid w:val="000906DA"/>
    <w:rsid w:val="00090F19"/>
    <w:rsid w:val="00091B09"/>
    <w:rsid w:val="000922B7"/>
    <w:rsid w:val="00093585"/>
    <w:rsid w:val="000951C0"/>
    <w:rsid w:val="00095523"/>
    <w:rsid w:val="00095B1C"/>
    <w:rsid w:val="000960B6"/>
    <w:rsid w:val="000960EB"/>
    <w:rsid w:val="00097E69"/>
    <w:rsid w:val="00097E7E"/>
    <w:rsid w:val="000A0264"/>
    <w:rsid w:val="000A0774"/>
    <w:rsid w:val="000A0795"/>
    <w:rsid w:val="000A109A"/>
    <w:rsid w:val="000A19D0"/>
    <w:rsid w:val="000A1B53"/>
    <w:rsid w:val="000A2B39"/>
    <w:rsid w:val="000A2E36"/>
    <w:rsid w:val="000A3EB7"/>
    <w:rsid w:val="000A488B"/>
    <w:rsid w:val="000A5408"/>
    <w:rsid w:val="000A54EB"/>
    <w:rsid w:val="000A5EEE"/>
    <w:rsid w:val="000A6111"/>
    <w:rsid w:val="000A671E"/>
    <w:rsid w:val="000A6D84"/>
    <w:rsid w:val="000A7E40"/>
    <w:rsid w:val="000B0A30"/>
    <w:rsid w:val="000B0E5A"/>
    <w:rsid w:val="000B0EC0"/>
    <w:rsid w:val="000B0EEC"/>
    <w:rsid w:val="000B1056"/>
    <w:rsid w:val="000B2C34"/>
    <w:rsid w:val="000B2DE7"/>
    <w:rsid w:val="000B3588"/>
    <w:rsid w:val="000B3CFC"/>
    <w:rsid w:val="000B4690"/>
    <w:rsid w:val="000B50CB"/>
    <w:rsid w:val="000B5603"/>
    <w:rsid w:val="000B5CCE"/>
    <w:rsid w:val="000B5EE5"/>
    <w:rsid w:val="000B5FE4"/>
    <w:rsid w:val="000B754E"/>
    <w:rsid w:val="000B7F62"/>
    <w:rsid w:val="000C09BA"/>
    <w:rsid w:val="000C09CF"/>
    <w:rsid w:val="000C1CBF"/>
    <w:rsid w:val="000C1D25"/>
    <w:rsid w:val="000C1D78"/>
    <w:rsid w:val="000C2900"/>
    <w:rsid w:val="000C3197"/>
    <w:rsid w:val="000C325A"/>
    <w:rsid w:val="000C3D3A"/>
    <w:rsid w:val="000C40C5"/>
    <w:rsid w:val="000C4D70"/>
    <w:rsid w:val="000C5935"/>
    <w:rsid w:val="000C5A82"/>
    <w:rsid w:val="000C5AF1"/>
    <w:rsid w:val="000C5CA3"/>
    <w:rsid w:val="000C5CF4"/>
    <w:rsid w:val="000C64F5"/>
    <w:rsid w:val="000C651F"/>
    <w:rsid w:val="000C652C"/>
    <w:rsid w:val="000C6B7D"/>
    <w:rsid w:val="000C6D85"/>
    <w:rsid w:val="000C6FB3"/>
    <w:rsid w:val="000C73B1"/>
    <w:rsid w:val="000C7668"/>
    <w:rsid w:val="000C7F2B"/>
    <w:rsid w:val="000D043C"/>
    <w:rsid w:val="000D089B"/>
    <w:rsid w:val="000D0B4D"/>
    <w:rsid w:val="000D10A3"/>
    <w:rsid w:val="000D1632"/>
    <w:rsid w:val="000D1C30"/>
    <w:rsid w:val="000D1C9D"/>
    <w:rsid w:val="000D2960"/>
    <w:rsid w:val="000D2F88"/>
    <w:rsid w:val="000D3271"/>
    <w:rsid w:val="000D44E3"/>
    <w:rsid w:val="000D5270"/>
    <w:rsid w:val="000D52FA"/>
    <w:rsid w:val="000D667A"/>
    <w:rsid w:val="000D758F"/>
    <w:rsid w:val="000E0225"/>
    <w:rsid w:val="000E0667"/>
    <w:rsid w:val="000E0A9A"/>
    <w:rsid w:val="000E0EC2"/>
    <w:rsid w:val="000E1161"/>
    <w:rsid w:val="000E1D0A"/>
    <w:rsid w:val="000E39E6"/>
    <w:rsid w:val="000E43FC"/>
    <w:rsid w:val="000E512C"/>
    <w:rsid w:val="000E6634"/>
    <w:rsid w:val="000E6A90"/>
    <w:rsid w:val="000E6BE8"/>
    <w:rsid w:val="000F1543"/>
    <w:rsid w:val="000F1845"/>
    <w:rsid w:val="000F224F"/>
    <w:rsid w:val="000F32A4"/>
    <w:rsid w:val="000F51C5"/>
    <w:rsid w:val="000F542F"/>
    <w:rsid w:val="000F6D7A"/>
    <w:rsid w:val="000F6F16"/>
    <w:rsid w:val="000F7933"/>
    <w:rsid w:val="0010018A"/>
    <w:rsid w:val="0010026E"/>
    <w:rsid w:val="0010045D"/>
    <w:rsid w:val="00100B1D"/>
    <w:rsid w:val="00101C6E"/>
    <w:rsid w:val="00101D68"/>
    <w:rsid w:val="00101EC8"/>
    <w:rsid w:val="001033CE"/>
    <w:rsid w:val="00104660"/>
    <w:rsid w:val="001048A0"/>
    <w:rsid w:val="00104B35"/>
    <w:rsid w:val="00104F0A"/>
    <w:rsid w:val="00105C9C"/>
    <w:rsid w:val="00105F95"/>
    <w:rsid w:val="0010662B"/>
    <w:rsid w:val="00106BB5"/>
    <w:rsid w:val="00106BC6"/>
    <w:rsid w:val="00107950"/>
    <w:rsid w:val="00107CC4"/>
    <w:rsid w:val="00110C84"/>
    <w:rsid w:val="001112AA"/>
    <w:rsid w:val="00111D0D"/>
    <w:rsid w:val="00111F12"/>
    <w:rsid w:val="00113282"/>
    <w:rsid w:val="00113AC7"/>
    <w:rsid w:val="00113B88"/>
    <w:rsid w:val="00114272"/>
    <w:rsid w:val="00115099"/>
    <w:rsid w:val="001172D3"/>
    <w:rsid w:val="001179FA"/>
    <w:rsid w:val="00117D72"/>
    <w:rsid w:val="00117FC6"/>
    <w:rsid w:val="00120016"/>
    <w:rsid w:val="00120333"/>
    <w:rsid w:val="00120868"/>
    <w:rsid w:val="001209AF"/>
    <w:rsid w:val="001211F8"/>
    <w:rsid w:val="0012123B"/>
    <w:rsid w:val="00122594"/>
    <w:rsid w:val="0012267F"/>
    <w:rsid w:val="0012292A"/>
    <w:rsid w:val="0012317D"/>
    <w:rsid w:val="001234F4"/>
    <w:rsid w:val="00124354"/>
    <w:rsid w:val="00124516"/>
    <w:rsid w:val="00124646"/>
    <w:rsid w:val="0012489C"/>
    <w:rsid w:val="001250F3"/>
    <w:rsid w:val="0012668B"/>
    <w:rsid w:val="00126867"/>
    <w:rsid w:val="00127237"/>
    <w:rsid w:val="001274F8"/>
    <w:rsid w:val="001277CD"/>
    <w:rsid w:val="00127C19"/>
    <w:rsid w:val="00130BC0"/>
    <w:rsid w:val="00130CB0"/>
    <w:rsid w:val="001311CA"/>
    <w:rsid w:val="00131FBC"/>
    <w:rsid w:val="00132A7B"/>
    <w:rsid w:val="00132D5C"/>
    <w:rsid w:val="00133CF6"/>
    <w:rsid w:val="001342C0"/>
    <w:rsid w:val="0013447B"/>
    <w:rsid w:val="001347E9"/>
    <w:rsid w:val="00134DD6"/>
    <w:rsid w:val="00135CF3"/>
    <w:rsid w:val="0013737A"/>
    <w:rsid w:val="00140BEF"/>
    <w:rsid w:val="0014204B"/>
    <w:rsid w:val="00143129"/>
    <w:rsid w:val="00143716"/>
    <w:rsid w:val="001439F1"/>
    <w:rsid w:val="00143B47"/>
    <w:rsid w:val="00143C14"/>
    <w:rsid w:val="00144EDD"/>
    <w:rsid w:val="0014668C"/>
    <w:rsid w:val="0014672F"/>
    <w:rsid w:val="00146A0C"/>
    <w:rsid w:val="00147AAB"/>
    <w:rsid w:val="00151343"/>
    <w:rsid w:val="00151B5B"/>
    <w:rsid w:val="00151D1C"/>
    <w:rsid w:val="0015202C"/>
    <w:rsid w:val="00152651"/>
    <w:rsid w:val="00152746"/>
    <w:rsid w:val="00153AF4"/>
    <w:rsid w:val="00153C9B"/>
    <w:rsid w:val="00153E9B"/>
    <w:rsid w:val="00154DE0"/>
    <w:rsid w:val="00156523"/>
    <w:rsid w:val="00156634"/>
    <w:rsid w:val="0015684C"/>
    <w:rsid w:val="00157234"/>
    <w:rsid w:val="00157A84"/>
    <w:rsid w:val="00157ABA"/>
    <w:rsid w:val="00157B99"/>
    <w:rsid w:val="00160C7B"/>
    <w:rsid w:val="001610D6"/>
    <w:rsid w:val="00161A7F"/>
    <w:rsid w:val="00161C1D"/>
    <w:rsid w:val="00161C7A"/>
    <w:rsid w:val="00163690"/>
    <w:rsid w:val="00163F76"/>
    <w:rsid w:val="00164486"/>
    <w:rsid w:val="001646C4"/>
    <w:rsid w:val="001658FC"/>
    <w:rsid w:val="001668BF"/>
    <w:rsid w:val="00166D3E"/>
    <w:rsid w:val="001705C7"/>
    <w:rsid w:val="00170979"/>
    <w:rsid w:val="00171DD0"/>
    <w:rsid w:val="00172003"/>
    <w:rsid w:val="001731A8"/>
    <w:rsid w:val="0017324A"/>
    <w:rsid w:val="0017437B"/>
    <w:rsid w:val="0017590E"/>
    <w:rsid w:val="00175D15"/>
    <w:rsid w:val="00175F55"/>
    <w:rsid w:val="001760F2"/>
    <w:rsid w:val="001767C1"/>
    <w:rsid w:val="00177868"/>
    <w:rsid w:val="0017789F"/>
    <w:rsid w:val="00177CE4"/>
    <w:rsid w:val="00180321"/>
    <w:rsid w:val="00180716"/>
    <w:rsid w:val="001807ED"/>
    <w:rsid w:val="00180CE5"/>
    <w:rsid w:val="00180D45"/>
    <w:rsid w:val="00181F64"/>
    <w:rsid w:val="001822A3"/>
    <w:rsid w:val="001834DB"/>
    <w:rsid w:val="00183520"/>
    <w:rsid w:val="00183A76"/>
    <w:rsid w:val="00184D33"/>
    <w:rsid w:val="00185C40"/>
    <w:rsid w:val="00185FF2"/>
    <w:rsid w:val="00186246"/>
    <w:rsid w:val="001870F8"/>
    <w:rsid w:val="00187551"/>
    <w:rsid w:val="00187E08"/>
    <w:rsid w:val="00190898"/>
    <w:rsid w:val="001910E4"/>
    <w:rsid w:val="00191CED"/>
    <w:rsid w:val="0019209C"/>
    <w:rsid w:val="00192298"/>
    <w:rsid w:val="00192398"/>
    <w:rsid w:val="001925F0"/>
    <w:rsid w:val="0019271C"/>
    <w:rsid w:val="00192739"/>
    <w:rsid w:val="00192AB7"/>
    <w:rsid w:val="0019304D"/>
    <w:rsid w:val="00195F7F"/>
    <w:rsid w:val="0019622B"/>
    <w:rsid w:val="0019770B"/>
    <w:rsid w:val="00197FCA"/>
    <w:rsid w:val="001A0037"/>
    <w:rsid w:val="001A02E2"/>
    <w:rsid w:val="001A0D9C"/>
    <w:rsid w:val="001A0E81"/>
    <w:rsid w:val="001A1014"/>
    <w:rsid w:val="001A271F"/>
    <w:rsid w:val="001A402C"/>
    <w:rsid w:val="001A449D"/>
    <w:rsid w:val="001A46AB"/>
    <w:rsid w:val="001A48F7"/>
    <w:rsid w:val="001A496C"/>
    <w:rsid w:val="001A4A8D"/>
    <w:rsid w:val="001A54AD"/>
    <w:rsid w:val="001A54EB"/>
    <w:rsid w:val="001A568B"/>
    <w:rsid w:val="001A5A12"/>
    <w:rsid w:val="001A6FA7"/>
    <w:rsid w:val="001A7081"/>
    <w:rsid w:val="001B1265"/>
    <w:rsid w:val="001B13CC"/>
    <w:rsid w:val="001B1E62"/>
    <w:rsid w:val="001B2A7A"/>
    <w:rsid w:val="001B36F6"/>
    <w:rsid w:val="001B3A57"/>
    <w:rsid w:val="001B3EBC"/>
    <w:rsid w:val="001B48CE"/>
    <w:rsid w:val="001B4D64"/>
    <w:rsid w:val="001B6710"/>
    <w:rsid w:val="001B6845"/>
    <w:rsid w:val="001B6B8A"/>
    <w:rsid w:val="001B6D92"/>
    <w:rsid w:val="001B7090"/>
    <w:rsid w:val="001C0303"/>
    <w:rsid w:val="001C1B34"/>
    <w:rsid w:val="001C2676"/>
    <w:rsid w:val="001C3262"/>
    <w:rsid w:val="001C39A5"/>
    <w:rsid w:val="001C462F"/>
    <w:rsid w:val="001C47FD"/>
    <w:rsid w:val="001C4822"/>
    <w:rsid w:val="001C5AB8"/>
    <w:rsid w:val="001C5D96"/>
    <w:rsid w:val="001C6C06"/>
    <w:rsid w:val="001D0167"/>
    <w:rsid w:val="001D1267"/>
    <w:rsid w:val="001D1B45"/>
    <w:rsid w:val="001D1DD7"/>
    <w:rsid w:val="001D3F1F"/>
    <w:rsid w:val="001D47DE"/>
    <w:rsid w:val="001D49F0"/>
    <w:rsid w:val="001D4FDF"/>
    <w:rsid w:val="001D534F"/>
    <w:rsid w:val="001D5B9A"/>
    <w:rsid w:val="001D79C3"/>
    <w:rsid w:val="001D7A0C"/>
    <w:rsid w:val="001E07D2"/>
    <w:rsid w:val="001E089D"/>
    <w:rsid w:val="001E089E"/>
    <w:rsid w:val="001E10BB"/>
    <w:rsid w:val="001E1D9D"/>
    <w:rsid w:val="001E2230"/>
    <w:rsid w:val="001E2AF8"/>
    <w:rsid w:val="001E2B35"/>
    <w:rsid w:val="001E2BCA"/>
    <w:rsid w:val="001E2D20"/>
    <w:rsid w:val="001E3081"/>
    <w:rsid w:val="001E31C4"/>
    <w:rsid w:val="001E3A7B"/>
    <w:rsid w:val="001E4E03"/>
    <w:rsid w:val="001E502B"/>
    <w:rsid w:val="001E5168"/>
    <w:rsid w:val="001E54E5"/>
    <w:rsid w:val="001E74B5"/>
    <w:rsid w:val="001E79A8"/>
    <w:rsid w:val="001F0FA9"/>
    <w:rsid w:val="001F1364"/>
    <w:rsid w:val="001F14E6"/>
    <w:rsid w:val="001F2481"/>
    <w:rsid w:val="001F35CC"/>
    <w:rsid w:val="001F3A7A"/>
    <w:rsid w:val="001F4A43"/>
    <w:rsid w:val="001F59D8"/>
    <w:rsid w:val="001F5C9A"/>
    <w:rsid w:val="001F5F8D"/>
    <w:rsid w:val="001F66EA"/>
    <w:rsid w:val="001F6C45"/>
    <w:rsid w:val="001F7386"/>
    <w:rsid w:val="001F742C"/>
    <w:rsid w:val="001F7F3B"/>
    <w:rsid w:val="00200740"/>
    <w:rsid w:val="002008FD"/>
    <w:rsid w:val="00200CFB"/>
    <w:rsid w:val="00200D64"/>
    <w:rsid w:val="002014EC"/>
    <w:rsid w:val="00201B9F"/>
    <w:rsid w:val="00202165"/>
    <w:rsid w:val="002022AF"/>
    <w:rsid w:val="0020341D"/>
    <w:rsid w:val="002044FC"/>
    <w:rsid w:val="002045B9"/>
    <w:rsid w:val="00206467"/>
    <w:rsid w:val="00207607"/>
    <w:rsid w:val="002101A4"/>
    <w:rsid w:val="002112FF"/>
    <w:rsid w:val="0021177A"/>
    <w:rsid w:val="0021271E"/>
    <w:rsid w:val="00212F6E"/>
    <w:rsid w:val="00213443"/>
    <w:rsid w:val="00213494"/>
    <w:rsid w:val="002137DC"/>
    <w:rsid w:val="0021573E"/>
    <w:rsid w:val="0021622C"/>
    <w:rsid w:val="00216B2F"/>
    <w:rsid w:val="0021791A"/>
    <w:rsid w:val="002218E8"/>
    <w:rsid w:val="00223A29"/>
    <w:rsid w:val="002242DB"/>
    <w:rsid w:val="0022460B"/>
    <w:rsid w:val="0022475E"/>
    <w:rsid w:val="002249B3"/>
    <w:rsid w:val="00224DF1"/>
    <w:rsid w:val="002250FB"/>
    <w:rsid w:val="00225ADA"/>
    <w:rsid w:val="002263FE"/>
    <w:rsid w:val="002275FC"/>
    <w:rsid w:val="002302DD"/>
    <w:rsid w:val="00230C80"/>
    <w:rsid w:val="00231106"/>
    <w:rsid w:val="00231A9A"/>
    <w:rsid w:val="0023231D"/>
    <w:rsid w:val="002325A3"/>
    <w:rsid w:val="00233187"/>
    <w:rsid w:val="0023330C"/>
    <w:rsid w:val="00233983"/>
    <w:rsid w:val="002339F2"/>
    <w:rsid w:val="00233A03"/>
    <w:rsid w:val="00233AFC"/>
    <w:rsid w:val="002347A2"/>
    <w:rsid w:val="0023494C"/>
    <w:rsid w:val="0023494F"/>
    <w:rsid w:val="00234B91"/>
    <w:rsid w:val="002351D6"/>
    <w:rsid w:val="00235CC7"/>
    <w:rsid w:val="00236252"/>
    <w:rsid w:val="0024057E"/>
    <w:rsid w:val="00240C81"/>
    <w:rsid w:val="00241757"/>
    <w:rsid w:val="00243784"/>
    <w:rsid w:val="00243D9C"/>
    <w:rsid w:val="0024408B"/>
    <w:rsid w:val="0024413F"/>
    <w:rsid w:val="00244515"/>
    <w:rsid w:val="002452CB"/>
    <w:rsid w:val="002455BE"/>
    <w:rsid w:val="002459B1"/>
    <w:rsid w:val="00246375"/>
    <w:rsid w:val="00246FAD"/>
    <w:rsid w:val="002472B1"/>
    <w:rsid w:val="00247353"/>
    <w:rsid w:val="00247485"/>
    <w:rsid w:val="00247FFB"/>
    <w:rsid w:val="0025025F"/>
    <w:rsid w:val="00252ADA"/>
    <w:rsid w:val="00252B3E"/>
    <w:rsid w:val="00252D21"/>
    <w:rsid w:val="00254836"/>
    <w:rsid w:val="00254903"/>
    <w:rsid w:val="00255144"/>
    <w:rsid w:val="00255A6A"/>
    <w:rsid w:val="00255D94"/>
    <w:rsid w:val="00255DE3"/>
    <w:rsid w:val="00256B78"/>
    <w:rsid w:val="00257CDF"/>
    <w:rsid w:val="00260CE0"/>
    <w:rsid w:val="00261CEE"/>
    <w:rsid w:val="0026238D"/>
    <w:rsid w:val="00263D07"/>
    <w:rsid w:val="002642C2"/>
    <w:rsid w:val="002648CD"/>
    <w:rsid w:val="00264DBF"/>
    <w:rsid w:val="00266086"/>
    <w:rsid w:val="002668A3"/>
    <w:rsid w:val="00266ED2"/>
    <w:rsid w:val="00266F4D"/>
    <w:rsid w:val="00267D8B"/>
    <w:rsid w:val="00270681"/>
    <w:rsid w:val="00270B5F"/>
    <w:rsid w:val="0027145E"/>
    <w:rsid w:val="00271836"/>
    <w:rsid w:val="00271ADE"/>
    <w:rsid w:val="00271EC2"/>
    <w:rsid w:val="00272C2D"/>
    <w:rsid w:val="00273028"/>
    <w:rsid w:val="0027311E"/>
    <w:rsid w:val="002743EB"/>
    <w:rsid w:val="00275B20"/>
    <w:rsid w:val="00276F08"/>
    <w:rsid w:val="00277C2B"/>
    <w:rsid w:val="00277D97"/>
    <w:rsid w:val="00277E25"/>
    <w:rsid w:val="00277FDF"/>
    <w:rsid w:val="0028025A"/>
    <w:rsid w:val="002802FB"/>
    <w:rsid w:val="00280D61"/>
    <w:rsid w:val="00280D62"/>
    <w:rsid w:val="002820D2"/>
    <w:rsid w:val="0028228B"/>
    <w:rsid w:val="00282E10"/>
    <w:rsid w:val="00284052"/>
    <w:rsid w:val="00284BBC"/>
    <w:rsid w:val="00284D7A"/>
    <w:rsid w:val="00284DA3"/>
    <w:rsid w:val="00285328"/>
    <w:rsid w:val="00285527"/>
    <w:rsid w:val="00285FEB"/>
    <w:rsid w:val="00286E0F"/>
    <w:rsid w:val="00287A22"/>
    <w:rsid w:val="00290FC9"/>
    <w:rsid w:val="002917BC"/>
    <w:rsid w:val="00291818"/>
    <w:rsid w:val="00291A70"/>
    <w:rsid w:val="00291FD4"/>
    <w:rsid w:val="00292495"/>
    <w:rsid w:val="00292E40"/>
    <w:rsid w:val="0029305C"/>
    <w:rsid w:val="0029308D"/>
    <w:rsid w:val="00293950"/>
    <w:rsid w:val="00293BD5"/>
    <w:rsid w:val="002945CD"/>
    <w:rsid w:val="002947A7"/>
    <w:rsid w:val="002955D8"/>
    <w:rsid w:val="002956F0"/>
    <w:rsid w:val="002966E7"/>
    <w:rsid w:val="002A0099"/>
    <w:rsid w:val="002A0DE0"/>
    <w:rsid w:val="002A162D"/>
    <w:rsid w:val="002A1BE2"/>
    <w:rsid w:val="002A26E6"/>
    <w:rsid w:val="002A2C94"/>
    <w:rsid w:val="002A2CED"/>
    <w:rsid w:val="002A3183"/>
    <w:rsid w:val="002A3655"/>
    <w:rsid w:val="002A4098"/>
    <w:rsid w:val="002A5C07"/>
    <w:rsid w:val="002A6640"/>
    <w:rsid w:val="002A688A"/>
    <w:rsid w:val="002A69FC"/>
    <w:rsid w:val="002A6FA2"/>
    <w:rsid w:val="002B00C3"/>
    <w:rsid w:val="002B00D8"/>
    <w:rsid w:val="002B1EE7"/>
    <w:rsid w:val="002B2166"/>
    <w:rsid w:val="002B2567"/>
    <w:rsid w:val="002B25A2"/>
    <w:rsid w:val="002B2BAE"/>
    <w:rsid w:val="002B2F9F"/>
    <w:rsid w:val="002B3C67"/>
    <w:rsid w:val="002B3EDD"/>
    <w:rsid w:val="002B4203"/>
    <w:rsid w:val="002B53D9"/>
    <w:rsid w:val="002B6431"/>
    <w:rsid w:val="002B6B77"/>
    <w:rsid w:val="002B6BA8"/>
    <w:rsid w:val="002B6D78"/>
    <w:rsid w:val="002B7139"/>
    <w:rsid w:val="002C08E5"/>
    <w:rsid w:val="002C14A5"/>
    <w:rsid w:val="002C23E5"/>
    <w:rsid w:val="002C2AD5"/>
    <w:rsid w:val="002C3372"/>
    <w:rsid w:val="002C3660"/>
    <w:rsid w:val="002C55E6"/>
    <w:rsid w:val="002C5DC6"/>
    <w:rsid w:val="002C686F"/>
    <w:rsid w:val="002C6950"/>
    <w:rsid w:val="002C7445"/>
    <w:rsid w:val="002C79E9"/>
    <w:rsid w:val="002C7ECD"/>
    <w:rsid w:val="002D0080"/>
    <w:rsid w:val="002D0A53"/>
    <w:rsid w:val="002D20C2"/>
    <w:rsid w:val="002D275C"/>
    <w:rsid w:val="002D29DF"/>
    <w:rsid w:val="002D3288"/>
    <w:rsid w:val="002D35E5"/>
    <w:rsid w:val="002D38BC"/>
    <w:rsid w:val="002D3B10"/>
    <w:rsid w:val="002D3E55"/>
    <w:rsid w:val="002D4B6A"/>
    <w:rsid w:val="002D4C9C"/>
    <w:rsid w:val="002D59EB"/>
    <w:rsid w:val="002D5A68"/>
    <w:rsid w:val="002D638E"/>
    <w:rsid w:val="002D67B2"/>
    <w:rsid w:val="002D6BA6"/>
    <w:rsid w:val="002D6BF1"/>
    <w:rsid w:val="002D6F2E"/>
    <w:rsid w:val="002D794E"/>
    <w:rsid w:val="002D79E4"/>
    <w:rsid w:val="002D7B16"/>
    <w:rsid w:val="002D7BEB"/>
    <w:rsid w:val="002D7C59"/>
    <w:rsid w:val="002E0483"/>
    <w:rsid w:val="002E09B5"/>
    <w:rsid w:val="002E1801"/>
    <w:rsid w:val="002E1850"/>
    <w:rsid w:val="002E1EAC"/>
    <w:rsid w:val="002E3EFA"/>
    <w:rsid w:val="002E5A46"/>
    <w:rsid w:val="002E627B"/>
    <w:rsid w:val="002E76DC"/>
    <w:rsid w:val="002E7ACA"/>
    <w:rsid w:val="002E7FEF"/>
    <w:rsid w:val="002F1FC9"/>
    <w:rsid w:val="002F1FD6"/>
    <w:rsid w:val="002F1FFC"/>
    <w:rsid w:val="002F2857"/>
    <w:rsid w:val="002F2E99"/>
    <w:rsid w:val="002F3268"/>
    <w:rsid w:val="002F3A18"/>
    <w:rsid w:val="002F3CEF"/>
    <w:rsid w:val="002F4D5D"/>
    <w:rsid w:val="002F50ED"/>
    <w:rsid w:val="002F5340"/>
    <w:rsid w:val="002F633C"/>
    <w:rsid w:val="002F7A5C"/>
    <w:rsid w:val="00300307"/>
    <w:rsid w:val="00301F4B"/>
    <w:rsid w:val="00301FE8"/>
    <w:rsid w:val="00304035"/>
    <w:rsid w:val="0030424A"/>
    <w:rsid w:val="0030434F"/>
    <w:rsid w:val="00304526"/>
    <w:rsid w:val="003054CE"/>
    <w:rsid w:val="0030560A"/>
    <w:rsid w:val="00306541"/>
    <w:rsid w:val="0030727C"/>
    <w:rsid w:val="00307619"/>
    <w:rsid w:val="00307721"/>
    <w:rsid w:val="0031065D"/>
    <w:rsid w:val="00310A6E"/>
    <w:rsid w:val="00310D69"/>
    <w:rsid w:val="00311558"/>
    <w:rsid w:val="00311B3E"/>
    <w:rsid w:val="00311E71"/>
    <w:rsid w:val="003128A1"/>
    <w:rsid w:val="0031370F"/>
    <w:rsid w:val="00313B3D"/>
    <w:rsid w:val="0031445C"/>
    <w:rsid w:val="00314CFB"/>
    <w:rsid w:val="00314E45"/>
    <w:rsid w:val="0031592F"/>
    <w:rsid w:val="00315DC8"/>
    <w:rsid w:val="00316382"/>
    <w:rsid w:val="00316EB5"/>
    <w:rsid w:val="003176D3"/>
    <w:rsid w:val="003202DC"/>
    <w:rsid w:val="003215F7"/>
    <w:rsid w:val="00321C67"/>
    <w:rsid w:val="00322691"/>
    <w:rsid w:val="00322699"/>
    <w:rsid w:val="003235CD"/>
    <w:rsid w:val="0032410C"/>
    <w:rsid w:val="0032598F"/>
    <w:rsid w:val="00325B3A"/>
    <w:rsid w:val="003262CD"/>
    <w:rsid w:val="00326485"/>
    <w:rsid w:val="003271C8"/>
    <w:rsid w:val="00327929"/>
    <w:rsid w:val="00327BBF"/>
    <w:rsid w:val="0033118F"/>
    <w:rsid w:val="0033168F"/>
    <w:rsid w:val="00332108"/>
    <w:rsid w:val="00332814"/>
    <w:rsid w:val="0033361C"/>
    <w:rsid w:val="0033457C"/>
    <w:rsid w:val="00334896"/>
    <w:rsid w:val="00334FDB"/>
    <w:rsid w:val="00335E50"/>
    <w:rsid w:val="003367B7"/>
    <w:rsid w:val="00336DA9"/>
    <w:rsid w:val="00336F1F"/>
    <w:rsid w:val="003376E4"/>
    <w:rsid w:val="00337CF1"/>
    <w:rsid w:val="003412B4"/>
    <w:rsid w:val="0034277A"/>
    <w:rsid w:val="003427BF"/>
    <w:rsid w:val="003429B7"/>
    <w:rsid w:val="00342EA5"/>
    <w:rsid w:val="00345E3C"/>
    <w:rsid w:val="003475B6"/>
    <w:rsid w:val="00347D92"/>
    <w:rsid w:val="0035006A"/>
    <w:rsid w:val="0035044E"/>
    <w:rsid w:val="00350D24"/>
    <w:rsid w:val="00351218"/>
    <w:rsid w:val="00351B4C"/>
    <w:rsid w:val="00352139"/>
    <w:rsid w:val="003554B0"/>
    <w:rsid w:val="003556A0"/>
    <w:rsid w:val="00356024"/>
    <w:rsid w:val="003568A8"/>
    <w:rsid w:val="00356922"/>
    <w:rsid w:val="00356B86"/>
    <w:rsid w:val="0035719C"/>
    <w:rsid w:val="003573E6"/>
    <w:rsid w:val="003576EB"/>
    <w:rsid w:val="003577D1"/>
    <w:rsid w:val="003579A3"/>
    <w:rsid w:val="00357A0F"/>
    <w:rsid w:val="00357B38"/>
    <w:rsid w:val="00357B8D"/>
    <w:rsid w:val="00357E33"/>
    <w:rsid w:val="003605F3"/>
    <w:rsid w:val="00360A1F"/>
    <w:rsid w:val="00361438"/>
    <w:rsid w:val="00362978"/>
    <w:rsid w:val="0036324D"/>
    <w:rsid w:val="0036411A"/>
    <w:rsid w:val="003642AA"/>
    <w:rsid w:val="00365138"/>
    <w:rsid w:val="003659D3"/>
    <w:rsid w:val="00365BE5"/>
    <w:rsid w:val="00366505"/>
    <w:rsid w:val="00367A0E"/>
    <w:rsid w:val="00367B31"/>
    <w:rsid w:val="00367BE5"/>
    <w:rsid w:val="00370941"/>
    <w:rsid w:val="003710A1"/>
    <w:rsid w:val="00371A5B"/>
    <w:rsid w:val="00371D3E"/>
    <w:rsid w:val="00371E4F"/>
    <w:rsid w:val="003730EC"/>
    <w:rsid w:val="00373578"/>
    <w:rsid w:val="00374C93"/>
    <w:rsid w:val="003751EC"/>
    <w:rsid w:val="00375E91"/>
    <w:rsid w:val="00377A51"/>
    <w:rsid w:val="00380C5D"/>
    <w:rsid w:val="00383FF6"/>
    <w:rsid w:val="00384E89"/>
    <w:rsid w:val="0038588C"/>
    <w:rsid w:val="00386989"/>
    <w:rsid w:val="00386A9E"/>
    <w:rsid w:val="00387D01"/>
    <w:rsid w:val="00390624"/>
    <w:rsid w:val="00392124"/>
    <w:rsid w:val="00392CB4"/>
    <w:rsid w:val="00393431"/>
    <w:rsid w:val="0039445E"/>
    <w:rsid w:val="003945D8"/>
    <w:rsid w:val="00395585"/>
    <w:rsid w:val="00396501"/>
    <w:rsid w:val="00396979"/>
    <w:rsid w:val="00397137"/>
    <w:rsid w:val="00397976"/>
    <w:rsid w:val="00397F6B"/>
    <w:rsid w:val="003A001C"/>
    <w:rsid w:val="003A066A"/>
    <w:rsid w:val="003A077F"/>
    <w:rsid w:val="003A0A62"/>
    <w:rsid w:val="003A1353"/>
    <w:rsid w:val="003A18DC"/>
    <w:rsid w:val="003A1C8A"/>
    <w:rsid w:val="003A1EC4"/>
    <w:rsid w:val="003A30AB"/>
    <w:rsid w:val="003A3BA4"/>
    <w:rsid w:val="003A4453"/>
    <w:rsid w:val="003A48F8"/>
    <w:rsid w:val="003A6796"/>
    <w:rsid w:val="003A6B30"/>
    <w:rsid w:val="003A7747"/>
    <w:rsid w:val="003B022B"/>
    <w:rsid w:val="003B08B8"/>
    <w:rsid w:val="003B0B13"/>
    <w:rsid w:val="003B21B2"/>
    <w:rsid w:val="003B289E"/>
    <w:rsid w:val="003B29D6"/>
    <w:rsid w:val="003B2FCA"/>
    <w:rsid w:val="003B329D"/>
    <w:rsid w:val="003B352D"/>
    <w:rsid w:val="003B3599"/>
    <w:rsid w:val="003B38DF"/>
    <w:rsid w:val="003B537A"/>
    <w:rsid w:val="003B645F"/>
    <w:rsid w:val="003B6AE7"/>
    <w:rsid w:val="003B7E86"/>
    <w:rsid w:val="003C1356"/>
    <w:rsid w:val="003C198D"/>
    <w:rsid w:val="003C1E9D"/>
    <w:rsid w:val="003C2371"/>
    <w:rsid w:val="003C2CAC"/>
    <w:rsid w:val="003C2EB4"/>
    <w:rsid w:val="003C3374"/>
    <w:rsid w:val="003C45EB"/>
    <w:rsid w:val="003C5303"/>
    <w:rsid w:val="003C61C4"/>
    <w:rsid w:val="003C7AF4"/>
    <w:rsid w:val="003D012A"/>
    <w:rsid w:val="003D06B5"/>
    <w:rsid w:val="003D06FC"/>
    <w:rsid w:val="003D0B33"/>
    <w:rsid w:val="003D16CE"/>
    <w:rsid w:val="003D171A"/>
    <w:rsid w:val="003D21CB"/>
    <w:rsid w:val="003D2670"/>
    <w:rsid w:val="003D3794"/>
    <w:rsid w:val="003D405B"/>
    <w:rsid w:val="003D50BE"/>
    <w:rsid w:val="003D5195"/>
    <w:rsid w:val="003D52B8"/>
    <w:rsid w:val="003D562F"/>
    <w:rsid w:val="003D5F55"/>
    <w:rsid w:val="003D63A5"/>
    <w:rsid w:val="003D700A"/>
    <w:rsid w:val="003D7B26"/>
    <w:rsid w:val="003E1053"/>
    <w:rsid w:val="003E23BD"/>
    <w:rsid w:val="003E24D0"/>
    <w:rsid w:val="003E25A7"/>
    <w:rsid w:val="003E2D27"/>
    <w:rsid w:val="003E3302"/>
    <w:rsid w:val="003E4126"/>
    <w:rsid w:val="003E4AB6"/>
    <w:rsid w:val="003E52BF"/>
    <w:rsid w:val="003E5643"/>
    <w:rsid w:val="003E57A8"/>
    <w:rsid w:val="003E5CD2"/>
    <w:rsid w:val="003E5E81"/>
    <w:rsid w:val="003E6A5A"/>
    <w:rsid w:val="003E70D8"/>
    <w:rsid w:val="003E7D07"/>
    <w:rsid w:val="003F073F"/>
    <w:rsid w:val="003F09AD"/>
    <w:rsid w:val="003F0BAC"/>
    <w:rsid w:val="003F0F19"/>
    <w:rsid w:val="003F1477"/>
    <w:rsid w:val="003F18C3"/>
    <w:rsid w:val="003F1C40"/>
    <w:rsid w:val="003F35AE"/>
    <w:rsid w:val="003F360A"/>
    <w:rsid w:val="003F3B1C"/>
    <w:rsid w:val="003F3C1B"/>
    <w:rsid w:val="003F4FF9"/>
    <w:rsid w:val="003F5744"/>
    <w:rsid w:val="003F60BA"/>
    <w:rsid w:val="003F644E"/>
    <w:rsid w:val="004002FD"/>
    <w:rsid w:val="00401287"/>
    <w:rsid w:val="0040166A"/>
    <w:rsid w:val="00401D9C"/>
    <w:rsid w:val="00402F8C"/>
    <w:rsid w:val="00403266"/>
    <w:rsid w:val="0040449B"/>
    <w:rsid w:val="00404633"/>
    <w:rsid w:val="00404F4C"/>
    <w:rsid w:val="00405212"/>
    <w:rsid w:val="00406892"/>
    <w:rsid w:val="00406D3E"/>
    <w:rsid w:val="0040739F"/>
    <w:rsid w:val="00410908"/>
    <w:rsid w:val="00410920"/>
    <w:rsid w:val="00410DE4"/>
    <w:rsid w:val="004125CB"/>
    <w:rsid w:val="00412B7F"/>
    <w:rsid w:val="00412F1B"/>
    <w:rsid w:val="004138BA"/>
    <w:rsid w:val="004140D9"/>
    <w:rsid w:val="0041449B"/>
    <w:rsid w:val="004144E3"/>
    <w:rsid w:val="00414807"/>
    <w:rsid w:val="004148F5"/>
    <w:rsid w:val="00414B2D"/>
    <w:rsid w:val="004153A6"/>
    <w:rsid w:val="00415EF3"/>
    <w:rsid w:val="00416190"/>
    <w:rsid w:val="00416F3D"/>
    <w:rsid w:val="004171D6"/>
    <w:rsid w:val="00420191"/>
    <w:rsid w:val="00420C84"/>
    <w:rsid w:val="00420E72"/>
    <w:rsid w:val="00420F8D"/>
    <w:rsid w:val="00421985"/>
    <w:rsid w:val="00421B5B"/>
    <w:rsid w:val="00421D67"/>
    <w:rsid w:val="00421E92"/>
    <w:rsid w:val="004220A2"/>
    <w:rsid w:val="004227FA"/>
    <w:rsid w:val="00423576"/>
    <w:rsid w:val="00423C93"/>
    <w:rsid w:val="004245B0"/>
    <w:rsid w:val="00424AA8"/>
    <w:rsid w:val="004251E9"/>
    <w:rsid w:val="00425604"/>
    <w:rsid w:val="00426010"/>
    <w:rsid w:val="0042650A"/>
    <w:rsid w:val="00426DBC"/>
    <w:rsid w:val="00427279"/>
    <w:rsid w:val="00427410"/>
    <w:rsid w:val="0042797A"/>
    <w:rsid w:val="00427A31"/>
    <w:rsid w:val="00430AD1"/>
    <w:rsid w:val="0043111D"/>
    <w:rsid w:val="004316BB"/>
    <w:rsid w:val="004329D2"/>
    <w:rsid w:val="0043350E"/>
    <w:rsid w:val="0043398F"/>
    <w:rsid w:val="004340B3"/>
    <w:rsid w:val="004340F4"/>
    <w:rsid w:val="004355B7"/>
    <w:rsid w:val="0043675D"/>
    <w:rsid w:val="004377E7"/>
    <w:rsid w:val="004379F6"/>
    <w:rsid w:val="00437BEA"/>
    <w:rsid w:val="00437BFD"/>
    <w:rsid w:val="00440220"/>
    <w:rsid w:val="004404DC"/>
    <w:rsid w:val="0044063E"/>
    <w:rsid w:val="00440F3A"/>
    <w:rsid w:val="00440F43"/>
    <w:rsid w:val="0044182E"/>
    <w:rsid w:val="00442733"/>
    <w:rsid w:val="00443CC2"/>
    <w:rsid w:val="00444341"/>
    <w:rsid w:val="0044478E"/>
    <w:rsid w:val="00445C26"/>
    <w:rsid w:val="004471D0"/>
    <w:rsid w:val="00447B1A"/>
    <w:rsid w:val="00450A2B"/>
    <w:rsid w:val="00451FBC"/>
    <w:rsid w:val="0045263F"/>
    <w:rsid w:val="00453CB2"/>
    <w:rsid w:val="00454211"/>
    <w:rsid w:val="00454AFA"/>
    <w:rsid w:val="004557F2"/>
    <w:rsid w:val="0046036D"/>
    <w:rsid w:val="0046056A"/>
    <w:rsid w:val="00460D84"/>
    <w:rsid w:val="004613DE"/>
    <w:rsid w:val="0046183F"/>
    <w:rsid w:val="00462A3E"/>
    <w:rsid w:val="00462ABC"/>
    <w:rsid w:val="00462EC7"/>
    <w:rsid w:val="00462ED3"/>
    <w:rsid w:val="0046318F"/>
    <w:rsid w:val="00464FCC"/>
    <w:rsid w:val="00465AD2"/>
    <w:rsid w:val="00465CB7"/>
    <w:rsid w:val="00465DEC"/>
    <w:rsid w:val="00465EB8"/>
    <w:rsid w:val="004662CA"/>
    <w:rsid w:val="0047081D"/>
    <w:rsid w:val="0047198A"/>
    <w:rsid w:val="004719D6"/>
    <w:rsid w:val="00471A6F"/>
    <w:rsid w:val="004728E4"/>
    <w:rsid w:val="004729D2"/>
    <w:rsid w:val="00473E58"/>
    <w:rsid w:val="004744AF"/>
    <w:rsid w:val="00474874"/>
    <w:rsid w:val="004756E6"/>
    <w:rsid w:val="00475D58"/>
    <w:rsid w:val="00476683"/>
    <w:rsid w:val="004773FF"/>
    <w:rsid w:val="00477734"/>
    <w:rsid w:val="00477952"/>
    <w:rsid w:val="0048001F"/>
    <w:rsid w:val="00481A6D"/>
    <w:rsid w:val="0048288D"/>
    <w:rsid w:val="00482DE1"/>
    <w:rsid w:val="00483891"/>
    <w:rsid w:val="00484482"/>
    <w:rsid w:val="0048530A"/>
    <w:rsid w:val="00485383"/>
    <w:rsid w:val="00485597"/>
    <w:rsid w:val="004862C4"/>
    <w:rsid w:val="0048639C"/>
    <w:rsid w:val="00486CCA"/>
    <w:rsid w:val="00486CFB"/>
    <w:rsid w:val="00487971"/>
    <w:rsid w:val="004901B3"/>
    <w:rsid w:val="00490FE4"/>
    <w:rsid w:val="00491400"/>
    <w:rsid w:val="00491A1C"/>
    <w:rsid w:val="00491C23"/>
    <w:rsid w:val="00492DA1"/>
    <w:rsid w:val="00493089"/>
    <w:rsid w:val="00493887"/>
    <w:rsid w:val="00494723"/>
    <w:rsid w:val="00494854"/>
    <w:rsid w:val="004953B2"/>
    <w:rsid w:val="004953E6"/>
    <w:rsid w:val="0049599F"/>
    <w:rsid w:val="00495CB4"/>
    <w:rsid w:val="00495ECD"/>
    <w:rsid w:val="004966C6"/>
    <w:rsid w:val="00496E80"/>
    <w:rsid w:val="004973FC"/>
    <w:rsid w:val="00497402"/>
    <w:rsid w:val="00497548"/>
    <w:rsid w:val="00497642"/>
    <w:rsid w:val="004976E5"/>
    <w:rsid w:val="004A0A98"/>
    <w:rsid w:val="004A0F50"/>
    <w:rsid w:val="004A20D9"/>
    <w:rsid w:val="004A2570"/>
    <w:rsid w:val="004A2722"/>
    <w:rsid w:val="004A2C6B"/>
    <w:rsid w:val="004A536D"/>
    <w:rsid w:val="004A58E5"/>
    <w:rsid w:val="004A60AF"/>
    <w:rsid w:val="004A627E"/>
    <w:rsid w:val="004A65C6"/>
    <w:rsid w:val="004A68A1"/>
    <w:rsid w:val="004A6D93"/>
    <w:rsid w:val="004B1394"/>
    <w:rsid w:val="004B1E63"/>
    <w:rsid w:val="004B278B"/>
    <w:rsid w:val="004B29A7"/>
    <w:rsid w:val="004B2D84"/>
    <w:rsid w:val="004B32ED"/>
    <w:rsid w:val="004B402A"/>
    <w:rsid w:val="004B42B4"/>
    <w:rsid w:val="004B44E9"/>
    <w:rsid w:val="004B48C5"/>
    <w:rsid w:val="004B4EEB"/>
    <w:rsid w:val="004B5BE7"/>
    <w:rsid w:val="004B6245"/>
    <w:rsid w:val="004B73F1"/>
    <w:rsid w:val="004C085A"/>
    <w:rsid w:val="004C125F"/>
    <w:rsid w:val="004C21BA"/>
    <w:rsid w:val="004C288C"/>
    <w:rsid w:val="004C2CB5"/>
    <w:rsid w:val="004C3259"/>
    <w:rsid w:val="004C3936"/>
    <w:rsid w:val="004C41B4"/>
    <w:rsid w:val="004C62F9"/>
    <w:rsid w:val="004C64A3"/>
    <w:rsid w:val="004C69A7"/>
    <w:rsid w:val="004C6B58"/>
    <w:rsid w:val="004C778D"/>
    <w:rsid w:val="004C7AA8"/>
    <w:rsid w:val="004C7C40"/>
    <w:rsid w:val="004D021F"/>
    <w:rsid w:val="004D0643"/>
    <w:rsid w:val="004D09E1"/>
    <w:rsid w:val="004D0A0C"/>
    <w:rsid w:val="004D1533"/>
    <w:rsid w:val="004D16D6"/>
    <w:rsid w:val="004D1BFB"/>
    <w:rsid w:val="004D1D35"/>
    <w:rsid w:val="004D20B4"/>
    <w:rsid w:val="004D2228"/>
    <w:rsid w:val="004D277D"/>
    <w:rsid w:val="004D2AA1"/>
    <w:rsid w:val="004D40C6"/>
    <w:rsid w:val="004D4583"/>
    <w:rsid w:val="004D47C9"/>
    <w:rsid w:val="004D4D81"/>
    <w:rsid w:val="004D54FB"/>
    <w:rsid w:val="004D63C1"/>
    <w:rsid w:val="004D68FB"/>
    <w:rsid w:val="004D7C1E"/>
    <w:rsid w:val="004E024D"/>
    <w:rsid w:val="004E0589"/>
    <w:rsid w:val="004E11FB"/>
    <w:rsid w:val="004E138E"/>
    <w:rsid w:val="004E1C42"/>
    <w:rsid w:val="004E213A"/>
    <w:rsid w:val="004E2A1B"/>
    <w:rsid w:val="004E3583"/>
    <w:rsid w:val="004E466F"/>
    <w:rsid w:val="004E4EF3"/>
    <w:rsid w:val="004E5318"/>
    <w:rsid w:val="004E5564"/>
    <w:rsid w:val="004E557D"/>
    <w:rsid w:val="004E6370"/>
    <w:rsid w:val="004E6703"/>
    <w:rsid w:val="004E73DE"/>
    <w:rsid w:val="004E77EF"/>
    <w:rsid w:val="004E7F3A"/>
    <w:rsid w:val="004F0AA2"/>
    <w:rsid w:val="004F166B"/>
    <w:rsid w:val="004F1AB1"/>
    <w:rsid w:val="004F223F"/>
    <w:rsid w:val="004F26BA"/>
    <w:rsid w:val="004F3F35"/>
    <w:rsid w:val="004F48E9"/>
    <w:rsid w:val="004F4D63"/>
    <w:rsid w:val="004F4F80"/>
    <w:rsid w:val="004F5756"/>
    <w:rsid w:val="004F5934"/>
    <w:rsid w:val="004F68BB"/>
    <w:rsid w:val="004F6C33"/>
    <w:rsid w:val="004F6DE6"/>
    <w:rsid w:val="004F7843"/>
    <w:rsid w:val="004F7DE3"/>
    <w:rsid w:val="00500B5D"/>
    <w:rsid w:val="00501219"/>
    <w:rsid w:val="00501F9F"/>
    <w:rsid w:val="00502BBF"/>
    <w:rsid w:val="00504674"/>
    <w:rsid w:val="005053FA"/>
    <w:rsid w:val="00505823"/>
    <w:rsid w:val="00505A35"/>
    <w:rsid w:val="00506D2F"/>
    <w:rsid w:val="005100FE"/>
    <w:rsid w:val="00510197"/>
    <w:rsid w:val="0051028E"/>
    <w:rsid w:val="005104C7"/>
    <w:rsid w:val="00510A73"/>
    <w:rsid w:val="00510ACF"/>
    <w:rsid w:val="00510EF7"/>
    <w:rsid w:val="005110D3"/>
    <w:rsid w:val="00513698"/>
    <w:rsid w:val="005144A9"/>
    <w:rsid w:val="005150D8"/>
    <w:rsid w:val="00515491"/>
    <w:rsid w:val="00515BC4"/>
    <w:rsid w:val="005161FF"/>
    <w:rsid w:val="00516841"/>
    <w:rsid w:val="00516B10"/>
    <w:rsid w:val="00517E57"/>
    <w:rsid w:val="0052041A"/>
    <w:rsid w:val="005217FB"/>
    <w:rsid w:val="00521879"/>
    <w:rsid w:val="00522524"/>
    <w:rsid w:val="00522BE3"/>
    <w:rsid w:val="0052438F"/>
    <w:rsid w:val="0052460D"/>
    <w:rsid w:val="00525085"/>
    <w:rsid w:val="00525139"/>
    <w:rsid w:val="00526AFF"/>
    <w:rsid w:val="00527CB5"/>
    <w:rsid w:val="00527FBE"/>
    <w:rsid w:val="00530583"/>
    <w:rsid w:val="00530926"/>
    <w:rsid w:val="00531530"/>
    <w:rsid w:val="00532C3A"/>
    <w:rsid w:val="005333FF"/>
    <w:rsid w:val="005339BB"/>
    <w:rsid w:val="00534A89"/>
    <w:rsid w:val="00535263"/>
    <w:rsid w:val="00535D21"/>
    <w:rsid w:val="00536109"/>
    <w:rsid w:val="005362E4"/>
    <w:rsid w:val="00536E22"/>
    <w:rsid w:val="00537495"/>
    <w:rsid w:val="005403D4"/>
    <w:rsid w:val="00540660"/>
    <w:rsid w:val="00540CAD"/>
    <w:rsid w:val="00540E49"/>
    <w:rsid w:val="00541148"/>
    <w:rsid w:val="005415EE"/>
    <w:rsid w:val="00541E1E"/>
    <w:rsid w:val="005427BF"/>
    <w:rsid w:val="005430B1"/>
    <w:rsid w:val="00543A3D"/>
    <w:rsid w:val="00544656"/>
    <w:rsid w:val="0054488B"/>
    <w:rsid w:val="00544A09"/>
    <w:rsid w:val="00544C16"/>
    <w:rsid w:val="0054518B"/>
    <w:rsid w:val="00545E7B"/>
    <w:rsid w:val="005468D9"/>
    <w:rsid w:val="00546B67"/>
    <w:rsid w:val="00546D10"/>
    <w:rsid w:val="00546EE0"/>
    <w:rsid w:val="00547BBC"/>
    <w:rsid w:val="005508FB"/>
    <w:rsid w:val="00550E49"/>
    <w:rsid w:val="00551117"/>
    <w:rsid w:val="005515B1"/>
    <w:rsid w:val="00552485"/>
    <w:rsid w:val="00552807"/>
    <w:rsid w:val="0055394C"/>
    <w:rsid w:val="0055461F"/>
    <w:rsid w:val="00555191"/>
    <w:rsid w:val="0055638F"/>
    <w:rsid w:val="00556DB2"/>
    <w:rsid w:val="0055740B"/>
    <w:rsid w:val="0055763F"/>
    <w:rsid w:val="005578C7"/>
    <w:rsid w:val="005602A9"/>
    <w:rsid w:val="0056036D"/>
    <w:rsid w:val="00560991"/>
    <w:rsid w:val="0056156F"/>
    <w:rsid w:val="005618BC"/>
    <w:rsid w:val="00562265"/>
    <w:rsid w:val="0056266C"/>
    <w:rsid w:val="005627EE"/>
    <w:rsid w:val="00562CBD"/>
    <w:rsid w:val="00563069"/>
    <w:rsid w:val="005636B3"/>
    <w:rsid w:val="00563D28"/>
    <w:rsid w:val="00563DD8"/>
    <w:rsid w:val="00564E8C"/>
    <w:rsid w:val="00565ABD"/>
    <w:rsid w:val="00566680"/>
    <w:rsid w:val="00570181"/>
    <w:rsid w:val="00570714"/>
    <w:rsid w:val="00570CA4"/>
    <w:rsid w:val="00570E1B"/>
    <w:rsid w:val="00570F23"/>
    <w:rsid w:val="00571500"/>
    <w:rsid w:val="005727B4"/>
    <w:rsid w:val="005728C9"/>
    <w:rsid w:val="005748B2"/>
    <w:rsid w:val="00575399"/>
    <w:rsid w:val="00576052"/>
    <w:rsid w:val="005764A7"/>
    <w:rsid w:val="005776D6"/>
    <w:rsid w:val="005778C3"/>
    <w:rsid w:val="00581F2F"/>
    <w:rsid w:val="00582011"/>
    <w:rsid w:val="005824A9"/>
    <w:rsid w:val="0058444E"/>
    <w:rsid w:val="00584D27"/>
    <w:rsid w:val="00584E9B"/>
    <w:rsid w:val="00584F56"/>
    <w:rsid w:val="0058683A"/>
    <w:rsid w:val="005868D2"/>
    <w:rsid w:val="005871B9"/>
    <w:rsid w:val="005900CF"/>
    <w:rsid w:val="00590FA3"/>
    <w:rsid w:val="005917B3"/>
    <w:rsid w:val="00591844"/>
    <w:rsid w:val="00591CD9"/>
    <w:rsid w:val="00592291"/>
    <w:rsid w:val="00593070"/>
    <w:rsid w:val="005933F1"/>
    <w:rsid w:val="00594672"/>
    <w:rsid w:val="00594D26"/>
    <w:rsid w:val="00595186"/>
    <w:rsid w:val="0059534E"/>
    <w:rsid w:val="00595B01"/>
    <w:rsid w:val="005965AE"/>
    <w:rsid w:val="00596B28"/>
    <w:rsid w:val="005975B2"/>
    <w:rsid w:val="005979B3"/>
    <w:rsid w:val="005A0494"/>
    <w:rsid w:val="005A0B68"/>
    <w:rsid w:val="005A0BD2"/>
    <w:rsid w:val="005A13C6"/>
    <w:rsid w:val="005A19E9"/>
    <w:rsid w:val="005A251E"/>
    <w:rsid w:val="005A2D0F"/>
    <w:rsid w:val="005A36CE"/>
    <w:rsid w:val="005A3E43"/>
    <w:rsid w:val="005A48C6"/>
    <w:rsid w:val="005A4B49"/>
    <w:rsid w:val="005A4BEB"/>
    <w:rsid w:val="005A518D"/>
    <w:rsid w:val="005A568C"/>
    <w:rsid w:val="005A66CE"/>
    <w:rsid w:val="005A6D4F"/>
    <w:rsid w:val="005A705C"/>
    <w:rsid w:val="005A77BC"/>
    <w:rsid w:val="005A7971"/>
    <w:rsid w:val="005A7E53"/>
    <w:rsid w:val="005B059C"/>
    <w:rsid w:val="005B08CC"/>
    <w:rsid w:val="005B1380"/>
    <w:rsid w:val="005B1861"/>
    <w:rsid w:val="005B19D0"/>
    <w:rsid w:val="005B24FF"/>
    <w:rsid w:val="005B30C9"/>
    <w:rsid w:val="005B3546"/>
    <w:rsid w:val="005B3B84"/>
    <w:rsid w:val="005B44AC"/>
    <w:rsid w:val="005B4901"/>
    <w:rsid w:val="005B492D"/>
    <w:rsid w:val="005B51D9"/>
    <w:rsid w:val="005B532C"/>
    <w:rsid w:val="005B58F1"/>
    <w:rsid w:val="005B73A1"/>
    <w:rsid w:val="005B75C4"/>
    <w:rsid w:val="005B7741"/>
    <w:rsid w:val="005C009B"/>
    <w:rsid w:val="005C0969"/>
    <w:rsid w:val="005C1072"/>
    <w:rsid w:val="005C1AC3"/>
    <w:rsid w:val="005C1CA2"/>
    <w:rsid w:val="005C1F09"/>
    <w:rsid w:val="005C2542"/>
    <w:rsid w:val="005C2A27"/>
    <w:rsid w:val="005C2CCB"/>
    <w:rsid w:val="005C3834"/>
    <w:rsid w:val="005C4CB5"/>
    <w:rsid w:val="005C4CEB"/>
    <w:rsid w:val="005C60DD"/>
    <w:rsid w:val="005C64E6"/>
    <w:rsid w:val="005C6E38"/>
    <w:rsid w:val="005C6F95"/>
    <w:rsid w:val="005C7121"/>
    <w:rsid w:val="005C73B1"/>
    <w:rsid w:val="005C76A7"/>
    <w:rsid w:val="005D1198"/>
    <w:rsid w:val="005D12BA"/>
    <w:rsid w:val="005D1C85"/>
    <w:rsid w:val="005D273C"/>
    <w:rsid w:val="005D2E84"/>
    <w:rsid w:val="005D31E4"/>
    <w:rsid w:val="005D3556"/>
    <w:rsid w:val="005D39CC"/>
    <w:rsid w:val="005D472C"/>
    <w:rsid w:val="005D4BE5"/>
    <w:rsid w:val="005D5898"/>
    <w:rsid w:val="005D61AF"/>
    <w:rsid w:val="005D64CA"/>
    <w:rsid w:val="005D7471"/>
    <w:rsid w:val="005E05AF"/>
    <w:rsid w:val="005E0603"/>
    <w:rsid w:val="005E0AC7"/>
    <w:rsid w:val="005E1086"/>
    <w:rsid w:val="005E1096"/>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E2E"/>
    <w:rsid w:val="005F01CC"/>
    <w:rsid w:val="005F04BC"/>
    <w:rsid w:val="005F087D"/>
    <w:rsid w:val="005F0BC6"/>
    <w:rsid w:val="005F0FD7"/>
    <w:rsid w:val="005F211D"/>
    <w:rsid w:val="005F2B8C"/>
    <w:rsid w:val="005F2C88"/>
    <w:rsid w:val="005F340A"/>
    <w:rsid w:val="005F496C"/>
    <w:rsid w:val="005F64CA"/>
    <w:rsid w:val="005F65CF"/>
    <w:rsid w:val="005F6B95"/>
    <w:rsid w:val="005F738E"/>
    <w:rsid w:val="005F7650"/>
    <w:rsid w:val="006002A9"/>
    <w:rsid w:val="006006C6"/>
    <w:rsid w:val="006013C4"/>
    <w:rsid w:val="00601598"/>
    <w:rsid w:val="00602204"/>
    <w:rsid w:val="006028C9"/>
    <w:rsid w:val="00603493"/>
    <w:rsid w:val="006039BA"/>
    <w:rsid w:val="00603CC7"/>
    <w:rsid w:val="0060514F"/>
    <w:rsid w:val="006059BD"/>
    <w:rsid w:val="00605A53"/>
    <w:rsid w:val="00605C77"/>
    <w:rsid w:val="006064FA"/>
    <w:rsid w:val="00606AAF"/>
    <w:rsid w:val="00606DCF"/>
    <w:rsid w:val="00606FE8"/>
    <w:rsid w:val="006072DE"/>
    <w:rsid w:val="00607B38"/>
    <w:rsid w:val="00607BDC"/>
    <w:rsid w:val="00607CA4"/>
    <w:rsid w:val="00607DA9"/>
    <w:rsid w:val="00610CC4"/>
    <w:rsid w:val="00612BA6"/>
    <w:rsid w:val="00612F51"/>
    <w:rsid w:val="00613579"/>
    <w:rsid w:val="0061370E"/>
    <w:rsid w:val="00613E48"/>
    <w:rsid w:val="00614889"/>
    <w:rsid w:val="006148AF"/>
    <w:rsid w:val="00615394"/>
    <w:rsid w:val="00615AB5"/>
    <w:rsid w:val="006179B8"/>
    <w:rsid w:val="00617CE1"/>
    <w:rsid w:val="00620D4A"/>
    <w:rsid w:val="00622A49"/>
    <w:rsid w:val="00622EA0"/>
    <w:rsid w:val="006236AE"/>
    <w:rsid w:val="006237FF"/>
    <w:rsid w:val="0062410C"/>
    <w:rsid w:val="00624238"/>
    <w:rsid w:val="00624790"/>
    <w:rsid w:val="006254B0"/>
    <w:rsid w:val="00625E7C"/>
    <w:rsid w:val="00626A32"/>
    <w:rsid w:val="00626ABC"/>
    <w:rsid w:val="00627062"/>
    <w:rsid w:val="00627841"/>
    <w:rsid w:val="00631507"/>
    <w:rsid w:val="0063166B"/>
    <w:rsid w:val="006316B8"/>
    <w:rsid w:val="00631778"/>
    <w:rsid w:val="0063354C"/>
    <w:rsid w:val="0063422D"/>
    <w:rsid w:val="00635235"/>
    <w:rsid w:val="00635912"/>
    <w:rsid w:val="00636691"/>
    <w:rsid w:val="00636BA3"/>
    <w:rsid w:val="00637696"/>
    <w:rsid w:val="00637A58"/>
    <w:rsid w:val="00637E63"/>
    <w:rsid w:val="006402F8"/>
    <w:rsid w:val="00641362"/>
    <w:rsid w:val="00641EB2"/>
    <w:rsid w:val="00642451"/>
    <w:rsid w:val="00643432"/>
    <w:rsid w:val="006444BD"/>
    <w:rsid w:val="00644BB7"/>
    <w:rsid w:val="006452F9"/>
    <w:rsid w:val="006458ED"/>
    <w:rsid w:val="00646125"/>
    <w:rsid w:val="00646ACA"/>
    <w:rsid w:val="00646EBC"/>
    <w:rsid w:val="0064757A"/>
    <w:rsid w:val="00647819"/>
    <w:rsid w:val="00647D2F"/>
    <w:rsid w:val="00647FD7"/>
    <w:rsid w:val="00650647"/>
    <w:rsid w:val="00650B68"/>
    <w:rsid w:val="00650CBD"/>
    <w:rsid w:val="00651EE0"/>
    <w:rsid w:val="006520AC"/>
    <w:rsid w:val="00652C15"/>
    <w:rsid w:val="00652D44"/>
    <w:rsid w:val="00653F8A"/>
    <w:rsid w:val="0065451E"/>
    <w:rsid w:val="00654FD0"/>
    <w:rsid w:val="006550CA"/>
    <w:rsid w:val="0065540E"/>
    <w:rsid w:val="00656E52"/>
    <w:rsid w:val="0066056B"/>
    <w:rsid w:val="00660711"/>
    <w:rsid w:val="00660E53"/>
    <w:rsid w:val="006615D5"/>
    <w:rsid w:val="0066180F"/>
    <w:rsid w:val="0066215F"/>
    <w:rsid w:val="00662898"/>
    <w:rsid w:val="0066332B"/>
    <w:rsid w:val="00663A53"/>
    <w:rsid w:val="00664016"/>
    <w:rsid w:val="006642E8"/>
    <w:rsid w:val="006648DC"/>
    <w:rsid w:val="00664F63"/>
    <w:rsid w:val="00665407"/>
    <w:rsid w:val="00665615"/>
    <w:rsid w:val="00667830"/>
    <w:rsid w:val="00670ACD"/>
    <w:rsid w:val="00670B17"/>
    <w:rsid w:val="0067149B"/>
    <w:rsid w:val="006716FF"/>
    <w:rsid w:val="006720E6"/>
    <w:rsid w:val="0067234D"/>
    <w:rsid w:val="00672695"/>
    <w:rsid w:val="00673459"/>
    <w:rsid w:val="00673628"/>
    <w:rsid w:val="00673679"/>
    <w:rsid w:val="006743E6"/>
    <w:rsid w:val="0067469C"/>
    <w:rsid w:val="00675183"/>
    <w:rsid w:val="00675C0D"/>
    <w:rsid w:val="00675EE0"/>
    <w:rsid w:val="00676477"/>
    <w:rsid w:val="00676512"/>
    <w:rsid w:val="00676A2B"/>
    <w:rsid w:val="00676BBE"/>
    <w:rsid w:val="00677878"/>
    <w:rsid w:val="00677B75"/>
    <w:rsid w:val="00677EB3"/>
    <w:rsid w:val="00680135"/>
    <w:rsid w:val="00680436"/>
    <w:rsid w:val="00680442"/>
    <w:rsid w:val="006810BE"/>
    <w:rsid w:val="0068159A"/>
    <w:rsid w:val="00682828"/>
    <w:rsid w:val="00682B05"/>
    <w:rsid w:val="00683250"/>
    <w:rsid w:val="006832F5"/>
    <w:rsid w:val="0068366F"/>
    <w:rsid w:val="0068384D"/>
    <w:rsid w:val="006839C8"/>
    <w:rsid w:val="00684406"/>
    <w:rsid w:val="00684483"/>
    <w:rsid w:val="006847D1"/>
    <w:rsid w:val="006854F3"/>
    <w:rsid w:val="00686463"/>
    <w:rsid w:val="00686565"/>
    <w:rsid w:val="00686578"/>
    <w:rsid w:val="006865A0"/>
    <w:rsid w:val="00686634"/>
    <w:rsid w:val="006870DA"/>
    <w:rsid w:val="006878DC"/>
    <w:rsid w:val="006912C4"/>
    <w:rsid w:val="00691AFC"/>
    <w:rsid w:val="00691BA2"/>
    <w:rsid w:val="00693D60"/>
    <w:rsid w:val="00694522"/>
    <w:rsid w:val="0069473A"/>
    <w:rsid w:val="00694757"/>
    <w:rsid w:val="00694CFE"/>
    <w:rsid w:val="00695294"/>
    <w:rsid w:val="006952CF"/>
    <w:rsid w:val="00695726"/>
    <w:rsid w:val="00695CD0"/>
    <w:rsid w:val="00695F54"/>
    <w:rsid w:val="00696E5B"/>
    <w:rsid w:val="00697360"/>
    <w:rsid w:val="006976D6"/>
    <w:rsid w:val="006A1293"/>
    <w:rsid w:val="006A18FB"/>
    <w:rsid w:val="006A1BA1"/>
    <w:rsid w:val="006A205A"/>
    <w:rsid w:val="006A2B55"/>
    <w:rsid w:val="006A2B99"/>
    <w:rsid w:val="006A2DB8"/>
    <w:rsid w:val="006A2FB2"/>
    <w:rsid w:val="006A32B3"/>
    <w:rsid w:val="006A3FF9"/>
    <w:rsid w:val="006A42DF"/>
    <w:rsid w:val="006A42FB"/>
    <w:rsid w:val="006A53FA"/>
    <w:rsid w:val="006A5F62"/>
    <w:rsid w:val="006A64AF"/>
    <w:rsid w:val="006A68F9"/>
    <w:rsid w:val="006A790E"/>
    <w:rsid w:val="006A7B17"/>
    <w:rsid w:val="006A7D75"/>
    <w:rsid w:val="006A7E3B"/>
    <w:rsid w:val="006B0B41"/>
    <w:rsid w:val="006B0F19"/>
    <w:rsid w:val="006B17EF"/>
    <w:rsid w:val="006B1C7B"/>
    <w:rsid w:val="006B1E6F"/>
    <w:rsid w:val="006B20A6"/>
    <w:rsid w:val="006B3224"/>
    <w:rsid w:val="006B4095"/>
    <w:rsid w:val="006B500B"/>
    <w:rsid w:val="006B5985"/>
    <w:rsid w:val="006B5A3B"/>
    <w:rsid w:val="006B6465"/>
    <w:rsid w:val="006B6658"/>
    <w:rsid w:val="006B6DE9"/>
    <w:rsid w:val="006B751A"/>
    <w:rsid w:val="006B7867"/>
    <w:rsid w:val="006C1418"/>
    <w:rsid w:val="006C16CA"/>
    <w:rsid w:val="006C18B0"/>
    <w:rsid w:val="006C1AD9"/>
    <w:rsid w:val="006C261D"/>
    <w:rsid w:val="006C2EAC"/>
    <w:rsid w:val="006C391F"/>
    <w:rsid w:val="006C41EA"/>
    <w:rsid w:val="006C45FD"/>
    <w:rsid w:val="006C4C2B"/>
    <w:rsid w:val="006C4D1A"/>
    <w:rsid w:val="006C54D9"/>
    <w:rsid w:val="006C56CB"/>
    <w:rsid w:val="006D0040"/>
    <w:rsid w:val="006D0786"/>
    <w:rsid w:val="006D1046"/>
    <w:rsid w:val="006D1186"/>
    <w:rsid w:val="006D1E61"/>
    <w:rsid w:val="006D2413"/>
    <w:rsid w:val="006D2549"/>
    <w:rsid w:val="006D272D"/>
    <w:rsid w:val="006D2CFF"/>
    <w:rsid w:val="006D3B1F"/>
    <w:rsid w:val="006D3B98"/>
    <w:rsid w:val="006D3D49"/>
    <w:rsid w:val="006D4F75"/>
    <w:rsid w:val="006D5571"/>
    <w:rsid w:val="006D5740"/>
    <w:rsid w:val="006D5A03"/>
    <w:rsid w:val="006D602F"/>
    <w:rsid w:val="006D6EC2"/>
    <w:rsid w:val="006D72F5"/>
    <w:rsid w:val="006D739C"/>
    <w:rsid w:val="006D7DD5"/>
    <w:rsid w:val="006E0995"/>
    <w:rsid w:val="006E14FC"/>
    <w:rsid w:val="006E23B3"/>
    <w:rsid w:val="006E29DF"/>
    <w:rsid w:val="006E3CE0"/>
    <w:rsid w:val="006E412D"/>
    <w:rsid w:val="006E45C7"/>
    <w:rsid w:val="006E5670"/>
    <w:rsid w:val="006E5D6D"/>
    <w:rsid w:val="006E5D7B"/>
    <w:rsid w:val="006E63D1"/>
    <w:rsid w:val="006E75AB"/>
    <w:rsid w:val="006E7A98"/>
    <w:rsid w:val="006E7D2F"/>
    <w:rsid w:val="006F33DE"/>
    <w:rsid w:val="006F3C61"/>
    <w:rsid w:val="006F3E7E"/>
    <w:rsid w:val="006F4568"/>
    <w:rsid w:val="006F5796"/>
    <w:rsid w:val="006F6104"/>
    <w:rsid w:val="006F701B"/>
    <w:rsid w:val="006F7020"/>
    <w:rsid w:val="006F7490"/>
    <w:rsid w:val="006F793F"/>
    <w:rsid w:val="007001DF"/>
    <w:rsid w:val="0070026D"/>
    <w:rsid w:val="00700945"/>
    <w:rsid w:val="00700DC9"/>
    <w:rsid w:val="00701698"/>
    <w:rsid w:val="00701AF6"/>
    <w:rsid w:val="00701BE1"/>
    <w:rsid w:val="00702090"/>
    <w:rsid w:val="007027FB"/>
    <w:rsid w:val="00702B5C"/>
    <w:rsid w:val="00703497"/>
    <w:rsid w:val="007047A2"/>
    <w:rsid w:val="007051B3"/>
    <w:rsid w:val="007057A9"/>
    <w:rsid w:val="007065F2"/>
    <w:rsid w:val="0070692C"/>
    <w:rsid w:val="00706EF0"/>
    <w:rsid w:val="007075FC"/>
    <w:rsid w:val="00707733"/>
    <w:rsid w:val="0071016B"/>
    <w:rsid w:val="0071070B"/>
    <w:rsid w:val="00710849"/>
    <w:rsid w:val="00710A7A"/>
    <w:rsid w:val="0071101E"/>
    <w:rsid w:val="007110A9"/>
    <w:rsid w:val="00711DFC"/>
    <w:rsid w:val="00712776"/>
    <w:rsid w:val="00713489"/>
    <w:rsid w:val="0071470F"/>
    <w:rsid w:val="007157A4"/>
    <w:rsid w:val="00716C5E"/>
    <w:rsid w:val="0071732A"/>
    <w:rsid w:val="00717CF3"/>
    <w:rsid w:val="00717F85"/>
    <w:rsid w:val="007206E1"/>
    <w:rsid w:val="00720CB1"/>
    <w:rsid w:val="007226C6"/>
    <w:rsid w:val="00722D84"/>
    <w:rsid w:val="00722E9A"/>
    <w:rsid w:val="0072311D"/>
    <w:rsid w:val="0072354F"/>
    <w:rsid w:val="00723629"/>
    <w:rsid w:val="00724670"/>
    <w:rsid w:val="00724C03"/>
    <w:rsid w:val="00724D12"/>
    <w:rsid w:val="00726419"/>
    <w:rsid w:val="00726D64"/>
    <w:rsid w:val="00727F29"/>
    <w:rsid w:val="0073158C"/>
    <w:rsid w:val="00732560"/>
    <w:rsid w:val="00732AD3"/>
    <w:rsid w:val="00733442"/>
    <w:rsid w:val="00733955"/>
    <w:rsid w:val="00733976"/>
    <w:rsid w:val="00733A73"/>
    <w:rsid w:val="00734182"/>
    <w:rsid w:val="007345D8"/>
    <w:rsid w:val="00734892"/>
    <w:rsid w:val="00734F2F"/>
    <w:rsid w:val="00735167"/>
    <w:rsid w:val="00735338"/>
    <w:rsid w:val="00735A00"/>
    <w:rsid w:val="00735FB0"/>
    <w:rsid w:val="00735FB9"/>
    <w:rsid w:val="007360DF"/>
    <w:rsid w:val="00736B08"/>
    <w:rsid w:val="007374DC"/>
    <w:rsid w:val="00737B26"/>
    <w:rsid w:val="00740525"/>
    <w:rsid w:val="00741690"/>
    <w:rsid w:val="007419F1"/>
    <w:rsid w:val="00742DA1"/>
    <w:rsid w:val="0074322A"/>
    <w:rsid w:val="007441A8"/>
    <w:rsid w:val="007451CD"/>
    <w:rsid w:val="00745769"/>
    <w:rsid w:val="00745F10"/>
    <w:rsid w:val="0074620F"/>
    <w:rsid w:val="00747DF6"/>
    <w:rsid w:val="007501F1"/>
    <w:rsid w:val="00750839"/>
    <w:rsid w:val="0075085C"/>
    <w:rsid w:val="00750B15"/>
    <w:rsid w:val="0075172E"/>
    <w:rsid w:val="00751BFF"/>
    <w:rsid w:val="00751C15"/>
    <w:rsid w:val="00752519"/>
    <w:rsid w:val="007528B0"/>
    <w:rsid w:val="00752D9B"/>
    <w:rsid w:val="00753194"/>
    <w:rsid w:val="00753C03"/>
    <w:rsid w:val="00755C41"/>
    <w:rsid w:val="00755EBB"/>
    <w:rsid w:val="00756197"/>
    <w:rsid w:val="0075682B"/>
    <w:rsid w:val="00756C87"/>
    <w:rsid w:val="00760323"/>
    <w:rsid w:val="00762682"/>
    <w:rsid w:val="00763228"/>
    <w:rsid w:val="007632A0"/>
    <w:rsid w:val="00763554"/>
    <w:rsid w:val="00763A23"/>
    <w:rsid w:val="00764146"/>
    <w:rsid w:val="00766118"/>
    <w:rsid w:val="007668C0"/>
    <w:rsid w:val="007677B9"/>
    <w:rsid w:val="00767B7B"/>
    <w:rsid w:val="00770C3E"/>
    <w:rsid w:val="00771183"/>
    <w:rsid w:val="0077158D"/>
    <w:rsid w:val="007723FD"/>
    <w:rsid w:val="0077334A"/>
    <w:rsid w:val="00774CB9"/>
    <w:rsid w:val="00775907"/>
    <w:rsid w:val="00775965"/>
    <w:rsid w:val="00775B1B"/>
    <w:rsid w:val="007765DE"/>
    <w:rsid w:val="00776637"/>
    <w:rsid w:val="007804C2"/>
    <w:rsid w:val="00780DA4"/>
    <w:rsid w:val="00781C3A"/>
    <w:rsid w:val="007823C4"/>
    <w:rsid w:val="00782571"/>
    <w:rsid w:val="00782CDC"/>
    <w:rsid w:val="00783038"/>
    <w:rsid w:val="00783054"/>
    <w:rsid w:val="00783690"/>
    <w:rsid w:val="00783745"/>
    <w:rsid w:val="007848BA"/>
    <w:rsid w:val="00784CB5"/>
    <w:rsid w:val="007855B9"/>
    <w:rsid w:val="007870C5"/>
    <w:rsid w:val="0078737A"/>
    <w:rsid w:val="007873C9"/>
    <w:rsid w:val="00790C14"/>
    <w:rsid w:val="007914FD"/>
    <w:rsid w:val="007921BF"/>
    <w:rsid w:val="00792721"/>
    <w:rsid w:val="00792C7C"/>
    <w:rsid w:val="0079301F"/>
    <w:rsid w:val="0079376D"/>
    <w:rsid w:val="0079396C"/>
    <w:rsid w:val="007939B2"/>
    <w:rsid w:val="00794027"/>
    <w:rsid w:val="00794245"/>
    <w:rsid w:val="0079440F"/>
    <w:rsid w:val="0079445C"/>
    <w:rsid w:val="00795365"/>
    <w:rsid w:val="00795A26"/>
    <w:rsid w:val="007964EC"/>
    <w:rsid w:val="00796595"/>
    <w:rsid w:val="007968BD"/>
    <w:rsid w:val="007979E7"/>
    <w:rsid w:val="00797B87"/>
    <w:rsid w:val="007A1433"/>
    <w:rsid w:val="007A1D47"/>
    <w:rsid w:val="007A364A"/>
    <w:rsid w:val="007A38DD"/>
    <w:rsid w:val="007A4063"/>
    <w:rsid w:val="007A435D"/>
    <w:rsid w:val="007A4E79"/>
    <w:rsid w:val="007A4F62"/>
    <w:rsid w:val="007A5229"/>
    <w:rsid w:val="007A53CB"/>
    <w:rsid w:val="007A5633"/>
    <w:rsid w:val="007A60D3"/>
    <w:rsid w:val="007A6417"/>
    <w:rsid w:val="007A7992"/>
    <w:rsid w:val="007A7A3A"/>
    <w:rsid w:val="007A7B16"/>
    <w:rsid w:val="007A7B56"/>
    <w:rsid w:val="007B04DD"/>
    <w:rsid w:val="007B0515"/>
    <w:rsid w:val="007B0624"/>
    <w:rsid w:val="007B0F44"/>
    <w:rsid w:val="007B1111"/>
    <w:rsid w:val="007B116D"/>
    <w:rsid w:val="007B1399"/>
    <w:rsid w:val="007B183A"/>
    <w:rsid w:val="007B1F07"/>
    <w:rsid w:val="007B24DD"/>
    <w:rsid w:val="007B3514"/>
    <w:rsid w:val="007B3841"/>
    <w:rsid w:val="007B3960"/>
    <w:rsid w:val="007B3AA2"/>
    <w:rsid w:val="007B4358"/>
    <w:rsid w:val="007B5086"/>
    <w:rsid w:val="007B5996"/>
    <w:rsid w:val="007B61B3"/>
    <w:rsid w:val="007B6B2E"/>
    <w:rsid w:val="007B6FA3"/>
    <w:rsid w:val="007B7111"/>
    <w:rsid w:val="007B759D"/>
    <w:rsid w:val="007C0137"/>
    <w:rsid w:val="007C0326"/>
    <w:rsid w:val="007C04C7"/>
    <w:rsid w:val="007C1341"/>
    <w:rsid w:val="007C159A"/>
    <w:rsid w:val="007C202C"/>
    <w:rsid w:val="007C2F08"/>
    <w:rsid w:val="007C2F71"/>
    <w:rsid w:val="007C33D8"/>
    <w:rsid w:val="007C40FB"/>
    <w:rsid w:val="007C476B"/>
    <w:rsid w:val="007C60E2"/>
    <w:rsid w:val="007C65B7"/>
    <w:rsid w:val="007C6B76"/>
    <w:rsid w:val="007C6E63"/>
    <w:rsid w:val="007C7103"/>
    <w:rsid w:val="007C7897"/>
    <w:rsid w:val="007C7AD5"/>
    <w:rsid w:val="007C7D1F"/>
    <w:rsid w:val="007D05FD"/>
    <w:rsid w:val="007D064B"/>
    <w:rsid w:val="007D06DB"/>
    <w:rsid w:val="007D06F7"/>
    <w:rsid w:val="007D1229"/>
    <w:rsid w:val="007D19AA"/>
    <w:rsid w:val="007D221C"/>
    <w:rsid w:val="007D2270"/>
    <w:rsid w:val="007D313F"/>
    <w:rsid w:val="007D45D0"/>
    <w:rsid w:val="007D47C9"/>
    <w:rsid w:val="007D52B1"/>
    <w:rsid w:val="007D66DB"/>
    <w:rsid w:val="007D6889"/>
    <w:rsid w:val="007D70EE"/>
    <w:rsid w:val="007D7102"/>
    <w:rsid w:val="007D75AE"/>
    <w:rsid w:val="007D7BA7"/>
    <w:rsid w:val="007D7CBB"/>
    <w:rsid w:val="007E03FE"/>
    <w:rsid w:val="007E1190"/>
    <w:rsid w:val="007E17C3"/>
    <w:rsid w:val="007E1B9E"/>
    <w:rsid w:val="007E22FB"/>
    <w:rsid w:val="007E2810"/>
    <w:rsid w:val="007E2B5D"/>
    <w:rsid w:val="007E31D1"/>
    <w:rsid w:val="007E3512"/>
    <w:rsid w:val="007E4730"/>
    <w:rsid w:val="007E490F"/>
    <w:rsid w:val="007E4A09"/>
    <w:rsid w:val="007E4EB4"/>
    <w:rsid w:val="007E4FA4"/>
    <w:rsid w:val="007E5802"/>
    <w:rsid w:val="007E6857"/>
    <w:rsid w:val="007E6B50"/>
    <w:rsid w:val="007F0444"/>
    <w:rsid w:val="007F3D26"/>
    <w:rsid w:val="007F4002"/>
    <w:rsid w:val="007F417A"/>
    <w:rsid w:val="007F4652"/>
    <w:rsid w:val="007F466A"/>
    <w:rsid w:val="007F4E62"/>
    <w:rsid w:val="007F5B95"/>
    <w:rsid w:val="007F5DBD"/>
    <w:rsid w:val="007F64BE"/>
    <w:rsid w:val="007F6594"/>
    <w:rsid w:val="007F699F"/>
    <w:rsid w:val="007F6E36"/>
    <w:rsid w:val="007F75EA"/>
    <w:rsid w:val="007F76B3"/>
    <w:rsid w:val="00801236"/>
    <w:rsid w:val="00801C63"/>
    <w:rsid w:val="00802639"/>
    <w:rsid w:val="0080272F"/>
    <w:rsid w:val="00802F5C"/>
    <w:rsid w:val="008036F2"/>
    <w:rsid w:val="008038A3"/>
    <w:rsid w:val="00804602"/>
    <w:rsid w:val="00804971"/>
    <w:rsid w:val="00804CAE"/>
    <w:rsid w:val="00804CFB"/>
    <w:rsid w:val="00804EFA"/>
    <w:rsid w:val="00806045"/>
    <w:rsid w:val="00806512"/>
    <w:rsid w:val="00806E97"/>
    <w:rsid w:val="00807249"/>
    <w:rsid w:val="00807FA8"/>
    <w:rsid w:val="008104EE"/>
    <w:rsid w:val="008108CF"/>
    <w:rsid w:val="0081107B"/>
    <w:rsid w:val="008122FF"/>
    <w:rsid w:val="00812B37"/>
    <w:rsid w:val="00812FB5"/>
    <w:rsid w:val="00813354"/>
    <w:rsid w:val="0081394C"/>
    <w:rsid w:val="008140C3"/>
    <w:rsid w:val="00814736"/>
    <w:rsid w:val="00814F69"/>
    <w:rsid w:val="00815D01"/>
    <w:rsid w:val="0081700B"/>
    <w:rsid w:val="008178D2"/>
    <w:rsid w:val="00817A0C"/>
    <w:rsid w:val="00817B41"/>
    <w:rsid w:val="0082066C"/>
    <w:rsid w:val="00820B4A"/>
    <w:rsid w:val="0082146E"/>
    <w:rsid w:val="00821C6A"/>
    <w:rsid w:val="008221B6"/>
    <w:rsid w:val="00822436"/>
    <w:rsid w:val="008231D4"/>
    <w:rsid w:val="00823293"/>
    <w:rsid w:val="00823AEC"/>
    <w:rsid w:val="008259BC"/>
    <w:rsid w:val="00825A8E"/>
    <w:rsid w:val="00825B3F"/>
    <w:rsid w:val="008265F4"/>
    <w:rsid w:val="008269AB"/>
    <w:rsid w:val="0082778A"/>
    <w:rsid w:val="00827926"/>
    <w:rsid w:val="008279C8"/>
    <w:rsid w:val="00827E97"/>
    <w:rsid w:val="00827F99"/>
    <w:rsid w:val="008326C7"/>
    <w:rsid w:val="008334F8"/>
    <w:rsid w:val="00833F83"/>
    <w:rsid w:val="00834BB0"/>
    <w:rsid w:val="00834CF8"/>
    <w:rsid w:val="00834F0A"/>
    <w:rsid w:val="00835365"/>
    <w:rsid w:val="008355F7"/>
    <w:rsid w:val="00835891"/>
    <w:rsid w:val="00835C87"/>
    <w:rsid w:val="00836B24"/>
    <w:rsid w:val="00837288"/>
    <w:rsid w:val="00837801"/>
    <w:rsid w:val="00837F89"/>
    <w:rsid w:val="008400CB"/>
    <w:rsid w:val="008403B4"/>
    <w:rsid w:val="008404CE"/>
    <w:rsid w:val="00840654"/>
    <w:rsid w:val="008409B8"/>
    <w:rsid w:val="00840C46"/>
    <w:rsid w:val="0084145E"/>
    <w:rsid w:val="008425F4"/>
    <w:rsid w:val="00842924"/>
    <w:rsid w:val="0084367D"/>
    <w:rsid w:val="00844955"/>
    <w:rsid w:val="00844DBB"/>
    <w:rsid w:val="00845650"/>
    <w:rsid w:val="00845E3E"/>
    <w:rsid w:val="0084695F"/>
    <w:rsid w:val="008477A1"/>
    <w:rsid w:val="0085068A"/>
    <w:rsid w:val="00850AFF"/>
    <w:rsid w:val="00851AC6"/>
    <w:rsid w:val="00851EC1"/>
    <w:rsid w:val="008527EC"/>
    <w:rsid w:val="00853B89"/>
    <w:rsid w:val="00853CA0"/>
    <w:rsid w:val="00853E6B"/>
    <w:rsid w:val="00854167"/>
    <w:rsid w:val="00854221"/>
    <w:rsid w:val="00854225"/>
    <w:rsid w:val="0085458E"/>
    <w:rsid w:val="0085461E"/>
    <w:rsid w:val="008553E4"/>
    <w:rsid w:val="0085569C"/>
    <w:rsid w:val="008567BC"/>
    <w:rsid w:val="00856916"/>
    <w:rsid w:val="00856CDB"/>
    <w:rsid w:val="00857382"/>
    <w:rsid w:val="00857884"/>
    <w:rsid w:val="00860D31"/>
    <w:rsid w:val="008610A0"/>
    <w:rsid w:val="00861149"/>
    <w:rsid w:val="0086114E"/>
    <w:rsid w:val="008617E8"/>
    <w:rsid w:val="008618DA"/>
    <w:rsid w:val="00861AA8"/>
    <w:rsid w:val="00862AF1"/>
    <w:rsid w:val="00862DB0"/>
    <w:rsid w:val="00863A84"/>
    <w:rsid w:val="00864F21"/>
    <w:rsid w:val="0086515B"/>
    <w:rsid w:val="00865688"/>
    <w:rsid w:val="008656C2"/>
    <w:rsid w:val="00865B44"/>
    <w:rsid w:val="008662EB"/>
    <w:rsid w:val="008664AB"/>
    <w:rsid w:val="00866DFA"/>
    <w:rsid w:val="008676A0"/>
    <w:rsid w:val="00867D01"/>
    <w:rsid w:val="00870384"/>
    <w:rsid w:val="008713F3"/>
    <w:rsid w:val="00873060"/>
    <w:rsid w:val="00873472"/>
    <w:rsid w:val="00873823"/>
    <w:rsid w:val="00874D07"/>
    <w:rsid w:val="00874F63"/>
    <w:rsid w:val="00875A49"/>
    <w:rsid w:val="00876249"/>
    <w:rsid w:val="0087685C"/>
    <w:rsid w:val="00877D48"/>
    <w:rsid w:val="008810AD"/>
    <w:rsid w:val="00881D45"/>
    <w:rsid w:val="00882305"/>
    <w:rsid w:val="008823F6"/>
    <w:rsid w:val="00882768"/>
    <w:rsid w:val="00883B14"/>
    <w:rsid w:val="008843D4"/>
    <w:rsid w:val="00884B49"/>
    <w:rsid w:val="00884C77"/>
    <w:rsid w:val="0088542C"/>
    <w:rsid w:val="00885478"/>
    <w:rsid w:val="008858A7"/>
    <w:rsid w:val="008861C2"/>
    <w:rsid w:val="00890965"/>
    <w:rsid w:val="00891CC7"/>
    <w:rsid w:val="0089430D"/>
    <w:rsid w:val="00894BAA"/>
    <w:rsid w:val="008954B8"/>
    <w:rsid w:val="008954E1"/>
    <w:rsid w:val="00896390"/>
    <w:rsid w:val="008967E8"/>
    <w:rsid w:val="008A04EF"/>
    <w:rsid w:val="008A1195"/>
    <w:rsid w:val="008A1516"/>
    <w:rsid w:val="008A17C6"/>
    <w:rsid w:val="008A235C"/>
    <w:rsid w:val="008A261B"/>
    <w:rsid w:val="008A3AFF"/>
    <w:rsid w:val="008A3D61"/>
    <w:rsid w:val="008A6008"/>
    <w:rsid w:val="008A6183"/>
    <w:rsid w:val="008A6935"/>
    <w:rsid w:val="008A749B"/>
    <w:rsid w:val="008A78C1"/>
    <w:rsid w:val="008A7A0E"/>
    <w:rsid w:val="008B071E"/>
    <w:rsid w:val="008B13BE"/>
    <w:rsid w:val="008B14EA"/>
    <w:rsid w:val="008B15CC"/>
    <w:rsid w:val="008B1CB9"/>
    <w:rsid w:val="008B1F17"/>
    <w:rsid w:val="008B1F3D"/>
    <w:rsid w:val="008B40C4"/>
    <w:rsid w:val="008B4641"/>
    <w:rsid w:val="008B486B"/>
    <w:rsid w:val="008B522A"/>
    <w:rsid w:val="008B5460"/>
    <w:rsid w:val="008B5A6E"/>
    <w:rsid w:val="008B6111"/>
    <w:rsid w:val="008B613D"/>
    <w:rsid w:val="008B7359"/>
    <w:rsid w:val="008C0317"/>
    <w:rsid w:val="008C07DE"/>
    <w:rsid w:val="008C0F21"/>
    <w:rsid w:val="008C1152"/>
    <w:rsid w:val="008C19B7"/>
    <w:rsid w:val="008C1DB5"/>
    <w:rsid w:val="008C25E2"/>
    <w:rsid w:val="008C3EA7"/>
    <w:rsid w:val="008C4D4B"/>
    <w:rsid w:val="008C4D89"/>
    <w:rsid w:val="008C5C9F"/>
    <w:rsid w:val="008C6362"/>
    <w:rsid w:val="008C650F"/>
    <w:rsid w:val="008C665A"/>
    <w:rsid w:val="008C6D63"/>
    <w:rsid w:val="008C6F82"/>
    <w:rsid w:val="008C71B9"/>
    <w:rsid w:val="008C740C"/>
    <w:rsid w:val="008C7CBE"/>
    <w:rsid w:val="008D07A8"/>
    <w:rsid w:val="008D0C60"/>
    <w:rsid w:val="008D19CE"/>
    <w:rsid w:val="008D1FB2"/>
    <w:rsid w:val="008D26A6"/>
    <w:rsid w:val="008D3091"/>
    <w:rsid w:val="008D3461"/>
    <w:rsid w:val="008D3B54"/>
    <w:rsid w:val="008D5F30"/>
    <w:rsid w:val="008D6633"/>
    <w:rsid w:val="008D6775"/>
    <w:rsid w:val="008D7410"/>
    <w:rsid w:val="008D787E"/>
    <w:rsid w:val="008D7B46"/>
    <w:rsid w:val="008D7C6A"/>
    <w:rsid w:val="008E01D3"/>
    <w:rsid w:val="008E03BA"/>
    <w:rsid w:val="008E04CB"/>
    <w:rsid w:val="008E17EE"/>
    <w:rsid w:val="008E2386"/>
    <w:rsid w:val="008E25E7"/>
    <w:rsid w:val="008E2EB6"/>
    <w:rsid w:val="008E358A"/>
    <w:rsid w:val="008E4988"/>
    <w:rsid w:val="008E4D24"/>
    <w:rsid w:val="008E4D3C"/>
    <w:rsid w:val="008E5A8D"/>
    <w:rsid w:val="008E7749"/>
    <w:rsid w:val="008F0101"/>
    <w:rsid w:val="008F1430"/>
    <w:rsid w:val="008F2988"/>
    <w:rsid w:val="008F3084"/>
    <w:rsid w:val="008F374F"/>
    <w:rsid w:val="008F471A"/>
    <w:rsid w:val="008F50E8"/>
    <w:rsid w:val="008F64CF"/>
    <w:rsid w:val="008F6722"/>
    <w:rsid w:val="008F68B5"/>
    <w:rsid w:val="008F6C9F"/>
    <w:rsid w:val="008F7A61"/>
    <w:rsid w:val="00900749"/>
    <w:rsid w:val="009008C3"/>
    <w:rsid w:val="009009C0"/>
    <w:rsid w:val="009018B6"/>
    <w:rsid w:val="00901A30"/>
    <w:rsid w:val="00901C01"/>
    <w:rsid w:val="00901CFA"/>
    <w:rsid w:val="00901F98"/>
    <w:rsid w:val="009022AF"/>
    <w:rsid w:val="00902BCF"/>
    <w:rsid w:val="009039F9"/>
    <w:rsid w:val="009040A4"/>
    <w:rsid w:val="00904A3A"/>
    <w:rsid w:val="00904CB7"/>
    <w:rsid w:val="00904CBF"/>
    <w:rsid w:val="00905CE8"/>
    <w:rsid w:val="00905DA4"/>
    <w:rsid w:val="0090646A"/>
    <w:rsid w:val="00907EF3"/>
    <w:rsid w:val="009103BA"/>
    <w:rsid w:val="0091055D"/>
    <w:rsid w:val="0091060A"/>
    <w:rsid w:val="009114AC"/>
    <w:rsid w:val="00911676"/>
    <w:rsid w:val="00911DD8"/>
    <w:rsid w:val="00912036"/>
    <w:rsid w:val="009121CC"/>
    <w:rsid w:val="009121CD"/>
    <w:rsid w:val="0091399F"/>
    <w:rsid w:val="00913C61"/>
    <w:rsid w:val="009153C6"/>
    <w:rsid w:val="009157B0"/>
    <w:rsid w:val="00915876"/>
    <w:rsid w:val="009159AA"/>
    <w:rsid w:val="00916B5A"/>
    <w:rsid w:val="00916EB2"/>
    <w:rsid w:val="00917223"/>
    <w:rsid w:val="00921031"/>
    <w:rsid w:val="009214C6"/>
    <w:rsid w:val="00921FBB"/>
    <w:rsid w:val="0092249A"/>
    <w:rsid w:val="009226C5"/>
    <w:rsid w:val="00922F82"/>
    <w:rsid w:val="00923166"/>
    <w:rsid w:val="0092390D"/>
    <w:rsid w:val="00924951"/>
    <w:rsid w:val="0092497A"/>
    <w:rsid w:val="00924D06"/>
    <w:rsid w:val="00924FC1"/>
    <w:rsid w:val="009253F4"/>
    <w:rsid w:val="00925EF3"/>
    <w:rsid w:val="009269AA"/>
    <w:rsid w:val="009275AC"/>
    <w:rsid w:val="00927737"/>
    <w:rsid w:val="009305AF"/>
    <w:rsid w:val="0093220A"/>
    <w:rsid w:val="00932312"/>
    <w:rsid w:val="0093319A"/>
    <w:rsid w:val="0093576E"/>
    <w:rsid w:val="0093578E"/>
    <w:rsid w:val="00935BEE"/>
    <w:rsid w:val="00936418"/>
    <w:rsid w:val="00937080"/>
    <w:rsid w:val="009373E1"/>
    <w:rsid w:val="00937856"/>
    <w:rsid w:val="009401B9"/>
    <w:rsid w:val="00940337"/>
    <w:rsid w:val="0094104D"/>
    <w:rsid w:val="0094188D"/>
    <w:rsid w:val="00941981"/>
    <w:rsid w:val="00942914"/>
    <w:rsid w:val="00943469"/>
    <w:rsid w:val="0094357C"/>
    <w:rsid w:val="009437D1"/>
    <w:rsid w:val="0094390E"/>
    <w:rsid w:val="009446F3"/>
    <w:rsid w:val="00944815"/>
    <w:rsid w:val="0094484F"/>
    <w:rsid w:val="00944888"/>
    <w:rsid w:val="00944BE1"/>
    <w:rsid w:val="0094661D"/>
    <w:rsid w:val="0094767E"/>
    <w:rsid w:val="00947860"/>
    <w:rsid w:val="009501B4"/>
    <w:rsid w:val="009501F6"/>
    <w:rsid w:val="0095038D"/>
    <w:rsid w:val="009508A1"/>
    <w:rsid w:val="00950AFB"/>
    <w:rsid w:val="00950BC7"/>
    <w:rsid w:val="00951489"/>
    <w:rsid w:val="00951B13"/>
    <w:rsid w:val="0095261C"/>
    <w:rsid w:val="009531F2"/>
    <w:rsid w:val="00955220"/>
    <w:rsid w:val="00955A51"/>
    <w:rsid w:val="00955EE0"/>
    <w:rsid w:val="00955F56"/>
    <w:rsid w:val="00957933"/>
    <w:rsid w:val="00957BCE"/>
    <w:rsid w:val="009602D9"/>
    <w:rsid w:val="009605A5"/>
    <w:rsid w:val="00960A2F"/>
    <w:rsid w:val="00962D0F"/>
    <w:rsid w:val="00963D03"/>
    <w:rsid w:val="00964055"/>
    <w:rsid w:val="00964858"/>
    <w:rsid w:val="00965186"/>
    <w:rsid w:val="009653CD"/>
    <w:rsid w:val="00966687"/>
    <w:rsid w:val="009667DC"/>
    <w:rsid w:val="009667F6"/>
    <w:rsid w:val="0096725D"/>
    <w:rsid w:val="00971C23"/>
    <w:rsid w:val="009722BC"/>
    <w:rsid w:val="009728D5"/>
    <w:rsid w:val="00972CCA"/>
    <w:rsid w:val="00972E94"/>
    <w:rsid w:val="009736E9"/>
    <w:rsid w:val="0097374B"/>
    <w:rsid w:val="009755AD"/>
    <w:rsid w:val="0097629E"/>
    <w:rsid w:val="00976928"/>
    <w:rsid w:val="00976F89"/>
    <w:rsid w:val="009773E2"/>
    <w:rsid w:val="0097764F"/>
    <w:rsid w:val="00977A5A"/>
    <w:rsid w:val="00977E0A"/>
    <w:rsid w:val="009800DC"/>
    <w:rsid w:val="00980277"/>
    <w:rsid w:val="00980E56"/>
    <w:rsid w:val="009818F0"/>
    <w:rsid w:val="00981DF1"/>
    <w:rsid w:val="009827C9"/>
    <w:rsid w:val="00983053"/>
    <w:rsid w:val="0098310E"/>
    <w:rsid w:val="009838F6"/>
    <w:rsid w:val="00983C4E"/>
    <w:rsid w:val="00984041"/>
    <w:rsid w:val="00985086"/>
    <w:rsid w:val="0098548B"/>
    <w:rsid w:val="00985762"/>
    <w:rsid w:val="00985B44"/>
    <w:rsid w:val="00985DDC"/>
    <w:rsid w:val="009868F2"/>
    <w:rsid w:val="009875AB"/>
    <w:rsid w:val="00990010"/>
    <w:rsid w:val="00990134"/>
    <w:rsid w:val="009919F5"/>
    <w:rsid w:val="00991AF3"/>
    <w:rsid w:val="00991F96"/>
    <w:rsid w:val="0099269A"/>
    <w:rsid w:val="00993ABC"/>
    <w:rsid w:val="00993B48"/>
    <w:rsid w:val="00993B98"/>
    <w:rsid w:val="00993F1D"/>
    <w:rsid w:val="00994356"/>
    <w:rsid w:val="0099499B"/>
    <w:rsid w:val="0099544B"/>
    <w:rsid w:val="00995B12"/>
    <w:rsid w:val="0099628D"/>
    <w:rsid w:val="00996415"/>
    <w:rsid w:val="00997BDB"/>
    <w:rsid w:val="00997DCD"/>
    <w:rsid w:val="009A00E9"/>
    <w:rsid w:val="009A029A"/>
    <w:rsid w:val="009A0A3B"/>
    <w:rsid w:val="009A1C82"/>
    <w:rsid w:val="009A2259"/>
    <w:rsid w:val="009A3C36"/>
    <w:rsid w:val="009A6679"/>
    <w:rsid w:val="009A7071"/>
    <w:rsid w:val="009A7A64"/>
    <w:rsid w:val="009A7C72"/>
    <w:rsid w:val="009A7FF1"/>
    <w:rsid w:val="009B0260"/>
    <w:rsid w:val="009B03D0"/>
    <w:rsid w:val="009B07F2"/>
    <w:rsid w:val="009B0800"/>
    <w:rsid w:val="009B1067"/>
    <w:rsid w:val="009B15BB"/>
    <w:rsid w:val="009B1FBC"/>
    <w:rsid w:val="009B2284"/>
    <w:rsid w:val="009B22E5"/>
    <w:rsid w:val="009B23C9"/>
    <w:rsid w:val="009B25C0"/>
    <w:rsid w:val="009B28D6"/>
    <w:rsid w:val="009B3923"/>
    <w:rsid w:val="009B3C97"/>
    <w:rsid w:val="009B427A"/>
    <w:rsid w:val="009B4474"/>
    <w:rsid w:val="009B454D"/>
    <w:rsid w:val="009B4ADF"/>
    <w:rsid w:val="009B59ED"/>
    <w:rsid w:val="009B5A36"/>
    <w:rsid w:val="009B65BE"/>
    <w:rsid w:val="009B6645"/>
    <w:rsid w:val="009B6BB2"/>
    <w:rsid w:val="009B708E"/>
    <w:rsid w:val="009B729F"/>
    <w:rsid w:val="009B7784"/>
    <w:rsid w:val="009C0EC9"/>
    <w:rsid w:val="009C113F"/>
    <w:rsid w:val="009C117E"/>
    <w:rsid w:val="009C1B16"/>
    <w:rsid w:val="009C2C2B"/>
    <w:rsid w:val="009C3F59"/>
    <w:rsid w:val="009C421A"/>
    <w:rsid w:val="009C43F5"/>
    <w:rsid w:val="009C461E"/>
    <w:rsid w:val="009C50AC"/>
    <w:rsid w:val="009C519B"/>
    <w:rsid w:val="009C5306"/>
    <w:rsid w:val="009C55CF"/>
    <w:rsid w:val="009C5639"/>
    <w:rsid w:val="009C597A"/>
    <w:rsid w:val="009C6BB7"/>
    <w:rsid w:val="009D1999"/>
    <w:rsid w:val="009D2FAA"/>
    <w:rsid w:val="009D442F"/>
    <w:rsid w:val="009D5C56"/>
    <w:rsid w:val="009D5D22"/>
    <w:rsid w:val="009D6765"/>
    <w:rsid w:val="009D6A45"/>
    <w:rsid w:val="009D756E"/>
    <w:rsid w:val="009D7BC4"/>
    <w:rsid w:val="009E00FE"/>
    <w:rsid w:val="009E0645"/>
    <w:rsid w:val="009E0EEC"/>
    <w:rsid w:val="009E187F"/>
    <w:rsid w:val="009E2930"/>
    <w:rsid w:val="009E2BBC"/>
    <w:rsid w:val="009E308E"/>
    <w:rsid w:val="009E3707"/>
    <w:rsid w:val="009E3EB9"/>
    <w:rsid w:val="009E3FCE"/>
    <w:rsid w:val="009E4EA6"/>
    <w:rsid w:val="009E52C1"/>
    <w:rsid w:val="009E682A"/>
    <w:rsid w:val="009E76E1"/>
    <w:rsid w:val="009E79F3"/>
    <w:rsid w:val="009E7A1B"/>
    <w:rsid w:val="009F10B5"/>
    <w:rsid w:val="009F1626"/>
    <w:rsid w:val="009F1BEC"/>
    <w:rsid w:val="009F2310"/>
    <w:rsid w:val="009F236A"/>
    <w:rsid w:val="009F3B2A"/>
    <w:rsid w:val="009F3F86"/>
    <w:rsid w:val="009F4419"/>
    <w:rsid w:val="009F4B30"/>
    <w:rsid w:val="009F4E91"/>
    <w:rsid w:val="009F502F"/>
    <w:rsid w:val="009F511B"/>
    <w:rsid w:val="009F6317"/>
    <w:rsid w:val="009F6592"/>
    <w:rsid w:val="009F7A61"/>
    <w:rsid w:val="00A01046"/>
    <w:rsid w:val="00A0138A"/>
    <w:rsid w:val="00A02B5F"/>
    <w:rsid w:val="00A03556"/>
    <w:rsid w:val="00A03557"/>
    <w:rsid w:val="00A03CC6"/>
    <w:rsid w:val="00A052BD"/>
    <w:rsid w:val="00A05985"/>
    <w:rsid w:val="00A05B03"/>
    <w:rsid w:val="00A06694"/>
    <w:rsid w:val="00A067EF"/>
    <w:rsid w:val="00A06EDA"/>
    <w:rsid w:val="00A07B1A"/>
    <w:rsid w:val="00A101BC"/>
    <w:rsid w:val="00A10CCA"/>
    <w:rsid w:val="00A10D92"/>
    <w:rsid w:val="00A131F4"/>
    <w:rsid w:val="00A138E4"/>
    <w:rsid w:val="00A139A3"/>
    <w:rsid w:val="00A13FF3"/>
    <w:rsid w:val="00A1549D"/>
    <w:rsid w:val="00A1673C"/>
    <w:rsid w:val="00A16CA9"/>
    <w:rsid w:val="00A1752A"/>
    <w:rsid w:val="00A17561"/>
    <w:rsid w:val="00A17D9D"/>
    <w:rsid w:val="00A20AAA"/>
    <w:rsid w:val="00A20CF6"/>
    <w:rsid w:val="00A21072"/>
    <w:rsid w:val="00A215C8"/>
    <w:rsid w:val="00A21EB3"/>
    <w:rsid w:val="00A23275"/>
    <w:rsid w:val="00A2349D"/>
    <w:rsid w:val="00A25B33"/>
    <w:rsid w:val="00A25E6D"/>
    <w:rsid w:val="00A26103"/>
    <w:rsid w:val="00A26F8F"/>
    <w:rsid w:val="00A26FB2"/>
    <w:rsid w:val="00A27607"/>
    <w:rsid w:val="00A27AA6"/>
    <w:rsid w:val="00A27DCE"/>
    <w:rsid w:val="00A27E6A"/>
    <w:rsid w:val="00A27FBF"/>
    <w:rsid w:val="00A27FFE"/>
    <w:rsid w:val="00A304A0"/>
    <w:rsid w:val="00A31BAC"/>
    <w:rsid w:val="00A3239D"/>
    <w:rsid w:val="00A3282B"/>
    <w:rsid w:val="00A34A74"/>
    <w:rsid w:val="00A34B94"/>
    <w:rsid w:val="00A34E3D"/>
    <w:rsid w:val="00A3606D"/>
    <w:rsid w:val="00A362DE"/>
    <w:rsid w:val="00A36323"/>
    <w:rsid w:val="00A36957"/>
    <w:rsid w:val="00A36C1D"/>
    <w:rsid w:val="00A37E27"/>
    <w:rsid w:val="00A37F47"/>
    <w:rsid w:val="00A412A2"/>
    <w:rsid w:val="00A4329E"/>
    <w:rsid w:val="00A43B0F"/>
    <w:rsid w:val="00A43E94"/>
    <w:rsid w:val="00A44608"/>
    <w:rsid w:val="00A44D37"/>
    <w:rsid w:val="00A4538F"/>
    <w:rsid w:val="00A45A68"/>
    <w:rsid w:val="00A45AF7"/>
    <w:rsid w:val="00A463E9"/>
    <w:rsid w:val="00A4733C"/>
    <w:rsid w:val="00A47E5F"/>
    <w:rsid w:val="00A47F34"/>
    <w:rsid w:val="00A50403"/>
    <w:rsid w:val="00A50726"/>
    <w:rsid w:val="00A50E4F"/>
    <w:rsid w:val="00A51193"/>
    <w:rsid w:val="00A5145A"/>
    <w:rsid w:val="00A5168A"/>
    <w:rsid w:val="00A51DEF"/>
    <w:rsid w:val="00A53B9C"/>
    <w:rsid w:val="00A53CC4"/>
    <w:rsid w:val="00A53F30"/>
    <w:rsid w:val="00A5435A"/>
    <w:rsid w:val="00A54E44"/>
    <w:rsid w:val="00A554B2"/>
    <w:rsid w:val="00A5682A"/>
    <w:rsid w:val="00A56E6D"/>
    <w:rsid w:val="00A570E5"/>
    <w:rsid w:val="00A57C4C"/>
    <w:rsid w:val="00A607B3"/>
    <w:rsid w:val="00A607B5"/>
    <w:rsid w:val="00A60989"/>
    <w:rsid w:val="00A610EF"/>
    <w:rsid w:val="00A6250C"/>
    <w:rsid w:val="00A62E1D"/>
    <w:rsid w:val="00A6352F"/>
    <w:rsid w:val="00A63DFC"/>
    <w:rsid w:val="00A6412A"/>
    <w:rsid w:val="00A6428A"/>
    <w:rsid w:val="00A64AD9"/>
    <w:rsid w:val="00A65630"/>
    <w:rsid w:val="00A657BC"/>
    <w:rsid w:val="00A6585C"/>
    <w:rsid w:val="00A661C8"/>
    <w:rsid w:val="00A666DD"/>
    <w:rsid w:val="00A66D92"/>
    <w:rsid w:val="00A66DA3"/>
    <w:rsid w:val="00A66E9A"/>
    <w:rsid w:val="00A66FD8"/>
    <w:rsid w:val="00A67675"/>
    <w:rsid w:val="00A67996"/>
    <w:rsid w:val="00A7027B"/>
    <w:rsid w:val="00A70A9D"/>
    <w:rsid w:val="00A70C67"/>
    <w:rsid w:val="00A71CCA"/>
    <w:rsid w:val="00A72F4B"/>
    <w:rsid w:val="00A73844"/>
    <w:rsid w:val="00A73C57"/>
    <w:rsid w:val="00A743AD"/>
    <w:rsid w:val="00A74822"/>
    <w:rsid w:val="00A74B87"/>
    <w:rsid w:val="00A7630A"/>
    <w:rsid w:val="00A7672C"/>
    <w:rsid w:val="00A773CE"/>
    <w:rsid w:val="00A77412"/>
    <w:rsid w:val="00A80844"/>
    <w:rsid w:val="00A80B9D"/>
    <w:rsid w:val="00A80E6C"/>
    <w:rsid w:val="00A8140A"/>
    <w:rsid w:val="00A81A27"/>
    <w:rsid w:val="00A81A34"/>
    <w:rsid w:val="00A82B9D"/>
    <w:rsid w:val="00A84D10"/>
    <w:rsid w:val="00A85508"/>
    <w:rsid w:val="00A85DD5"/>
    <w:rsid w:val="00A85DF1"/>
    <w:rsid w:val="00A86D16"/>
    <w:rsid w:val="00A875BF"/>
    <w:rsid w:val="00A8799C"/>
    <w:rsid w:val="00A87D85"/>
    <w:rsid w:val="00A87FE9"/>
    <w:rsid w:val="00A90652"/>
    <w:rsid w:val="00A909F2"/>
    <w:rsid w:val="00A91D54"/>
    <w:rsid w:val="00A92E26"/>
    <w:rsid w:val="00A939A4"/>
    <w:rsid w:val="00A939D3"/>
    <w:rsid w:val="00A939F7"/>
    <w:rsid w:val="00A94650"/>
    <w:rsid w:val="00A94FAB"/>
    <w:rsid w:val="00A95527"/>
    <w:rsid w:val="00A95937"/>
    <w:rsid w:val="00A95C72"/>
    <w:rsid w:val="00A95F6C"/>
    <w:rsid w:val="00A962BF"/>
    <w:rsid w:val="00A96987"/>
    <w:rsid w:val="00A96FAC"/>
    <w:rsid w:val="00A97CAB"/>
    <w:rsid w:val="00AA0ECE"/>
    <w:rsid w:val="00AA0F83"/>
    <w:rsid w:val="00AA2411"/>
    <w:rsid w:val="00AA2460"/>
    <w:rsid w:val="00AA2855"/>
    <w:rsid w:val="00AA3E95"/>
    <w:rsid w:val="00AA452D"/>
    <w:rsid w:val="00AA4ADF"/>
    <w:rsid w:val="00AA4E8C"/>
    <w:rsid w:val="00AA51E0"/>
    <w:rsid w:val="00AA5CFB"/>
    <w:rsid w:val="00AA64C9"/>
    <w:rsid w:val="00AA6553"/>
    <w:rsid w:val="00AA6989"/>
    <w:rsid w:val="00AA69C8"/>
    <w:rsid w:val="00AA7187"/>
    <w:rsid w:val="00AB0504"/>
    <w:rsid w:val="00AB0752"/>
    <w:rsid w:val="00AB098B"/>
    <w:rsid w:val="00AB0B13"/>
    <w:rsid w:val="00AB12DC"/>
    <w:rsid w:val="00AB1BF0"/>
    <w:rsid w:val="00AB2013"/>
    <w:rsid w:val="00AB3660"/>
    <w:rsid w:val="00AB3724"/>
    <w:rsid w:val="00AB6379"/>
    <w:rsid w:val="00AB6EC3"/>
    <w:rsid w:val="00AB7769"/>
    <w:rsid w:val="00AB77E6"/>
    <w:rsid w:val="00AB7E39"/>
    <w:rsid w:val="00AC0053"/>
    <w:rsid w:val="00AC065A"/>
    <w:rsid w:val="00AC0DF6"/>
    <w:rsid w:val="00AC0FFE"/>
    <w:rsid w:val="00AC126D"/>
    <w:rsid w:val="00AC25A6"/>
    <w:rsid w:val="00AC2F4B"/>
    <w:rsid w:val="00AC3DF0"/>
    <w:rsid w:val="00AC4CF9"/>
    <w:rsid w:val="00AC4EEA"/>
    <w:rsid w:val="00AC50AE"/>
    <w:rsid w:val="00AC528F"/>
    <w:rsid w:val="00AC5EB5"/>
    <w:rsid w:val="00AC608A"/>
    <w:rsid w:val="00AC6AE6"/>
    <w:rsid w:val="00AC6C84"/>
    <w:rsid w:val="00AC6DC6"/>
    <w:rsid w:val="00AC7EEE"/>
    <w:rsid w:val="00AD0401"/>
    <w:rsid w:val="00AD07CE"/>
    <w:rsid w:val="00AD0ACA"/>
    <w:rsid w:val="00AD0EB6"/>
    <w:rsid w:val="00AD10E0"/>
    <w:rsid w:val="00AD1207"/>
    <w:rsid w:val="00AD1338"/>
    <w:rsid w:val="00AD21BF"/>
    <w:rsid w:val="00AD2326"/>
    <w:rsid w:val="00AD241C"/>
    <w:rsid w:val="00AD32F4"/>
    <w:rsid w:val="00AD3654"/>
    <w:rsid w:val="00AD4143"/>
    <w:rsid w:val="00AD4E46"/>
    <w:rsid w:val="00AD5C5E"/>
    <w:rsid w:val="00AD6523"/>
    <w:rsid w:val="00AD655B"/>
    <w:rsid w:val="00AD6959"/>
    <w:rsid w:val="00AE0A21"/>
    <w:rsid w:val="00AE0D09"/>
    <w:rsid w:val="00AE0E16"/>
    <w:rsid w:val="00AE0F1D"/>
    <w:rsid w:val="00AE1115"/>
    <w:rsid w:val="00AE2477"/>
    <w:rsid w:val="00AE31D5"/>
    <w:rsid w:val="00AE366D"/>
    <w:rsid w:val="00AE3967"/>
    <w:rsid w:val="00AE4704"/>
    <w:rsid w:val="00AE725F"/>
    <w:rsid w:val="00AE7A86"/>
    <w:rsid w:val="00AF1346"/>
    <w:rsid w:val="00AF19A6"/>
    <w:rsid w:val="00AF219E"/>
    <w:rsid w:val="00AF21D7"/>
    <w:rsid w:val="00AF2C5F"/>
    <w:rsid w:val="00AF2C6B"/>
    <w:rsid w:val="00AF2CA8"/>
    <w:rsid w:val="00AF2EF2"/>
    <w:rsid w:val="00AF36EB"/>
    <w:rsid w:val="00AF4F75"/>
    <w:rsid w:val="00AF58C5"/>
    <w:rsid w:val="00AF5B0E"/>
    <w:rsid w:val="00AF5FE6"/>
    <w:rsid w:val="00AF7F6E"/>
    <w:rsid w:val="00B00095"/>
    <w:rsid w:val="00B0055A"/>
    <w:rsid w:val="00B00927"/>
    <w:rsid w:val="00B0101B"/>
    <w:rsid w:val="00B01DE8"/>
    <w:rsid w:val="00B01E69"/>
    <w:rsid w:val="00B02004"/>
    <w:rsid w:val="00B026CD"/>
    <w:rsid w:val="00B02976"/>
    <w:rsid w:val="00B033F8"/>
    <w:rsid w:val="00B05158"/>
    <w:rsid w:val="00B057AE"/>
    <w:rsid w:val="00B06069"/>
    <w:rsid w:val="00B063C8"/>
    <w:rsid w:val="00B0644B"/>
    <w:rsid w:val="00B07704"/>
    <w:rsid w:val="00B07BAD"/>
    <w:rsid w:val="00B1069A"/>
    <w:rsid w:val="00B1084D"/>
    <w:rsid w:val="00B116A9"/>
    <w:rsid w:val="00B1282F"/>
    <w:rsid w:val="00B12E3A"/>
    <w:rsid w:val="00B12E7A"/>
    <w:rsid w:val="00B15654"/>
    <w:rsid w:val="00B15FC1"/>
    <w:rsid w:val="00B1693E"/>
    <w:rsid w:val="00B17195"/>
    <w:rsid w:val="00B179F4"/>
    <w:rsid w:val="00B20081"/>
    <w:rsid w:val="00B203CB"/>
    <w:rsid w:val="00B2062E"/>
    <w:rsid w:val="00B2186E"/>
    <w:rsid w:val="00B21FE3"/>
    <w:rsid w:val="00B22017"/>
    <w:rsid w:val="00B22817"/>
    <w:rsid w:val="00B23125"/>
    <w:rsid w:val="00B2354F"/>
    <w:rsid w:val="00B237BE"/>
    <w:rsid w:val="00B23A40"/>
    <w:rsid w:val="00B24512"/>
    <w:rsid w:val="00B24BCA"/>
    <w:rsid w:val="00B259BA"/>
    <w:rsid w:val="00B25A69"/>
    <w:rsid w:val="00B25F76"/>
    <w:rsid w:val="00B2625F"/>
    <w:rsid w:val="00B262EF"/>
    <w:rsid w:val="00B26463"/>
    <w:rsid w:val="00B2729B"/>
    <w:rsid w:val="00B277B6"/>
    <w:rsid w:val="00B2792B"/>
    <w:rsid w:val="00B27BC3"/>
    <w:rsid w:val="00B30028"/>
    <w:rsid w:val="00B31713"/>
    <w:rsid w:val="00B31D25"/>
    <w:rsid w:val="00B327ED"/>
    <w:rsid w:val="00B32F7E"/>
    <w:rsid w:val="00B33462"/>
    <w:rsid w:val="00B3362B"/>
    <w:rsid w:val="00B33DFF"/>
    <w:rsid w:val="00B349C7"/>
    <w:rsid w:val="00B34C03"/>
    <w:rsid w:val="00B34CE4"/>
    <w:rsid w:val="00B358DC"/>
    <w:rsid w:val="00B3635C"/>
    <w:rsid w:val="00B36392"/>
    <w:rsid w:val="00B372BE"/>
    <w:rsid w:val="00B37473"/>
    <w:rsid w:val="00B405AA"/>
    <w:rsid w:val="00B4073D"/>
    <w:rsid w:val="00B41C3D"/>
    <w:rsid w:val="00B42341"/>
    <w:rsid w:val="00B425EA"/>
    <w:rsid w:val="00B428A7"/>
    <w:rsid w:val="00B42E3F"/>
    <w:rsid w:val="00B43E4E"/>
    <w:rsid w:val="00B44276"/>
    <w:rsid w:val="00B45443"/>
    <w:rsid w:val="00B4557C"/>
    <w:rsid w:val="00B45DB3"/>
    <w:rsid w:val="00B4685D"/>
    <w:rsid w:val="00B4765F"/>
    <w:rsid w:val="00B47D4C"/>
    <w:rsid w:val="00B47EFC"/>
    <w:rsid w:val="00B50F20"/>
    <w:rsid w:val="00B524F0"/>
    <w:rsid w:val="00B52B87"/>
    <w:rsid w:val="00B532EF"/>
    <w:rsid w:val="00B544F3"/>
    <w:rsid w:val="00B545CD"/>
    <w:rsid w:val="00B550D8"/>
    <w:rsid w:val="00B5537C"/>
    <w:rsid w:val="00B56D45"/>
    <w:rsid w:val="00B57222"/>
    <w:rsid w:val="00B61121"/>
    <w:rsid w:val="00B6137C"/>
    <w:rsid w:val="00B6169A"/>
    <w:rsid w:val="00B626B8"/>
    <w:rsid w:val="00B62EED"/>
    <w:rsid w:val="00B6307E"/>
    <w:rsid w:val="00B63CF5"/>
    <w:rsid w:val="00B64A90"/>
    <w:rsid w:val="00B662C8"/>
    <w:rsid w:val="00B67537"/>
    <w:rsid w:val="00B6772D"/>
    <w:rsid w:val="00B678F2"/>
    <w:rsid w:val="00B70036"/>
    <w:rsid w:val="00B705CE"/>
    <w:rsid w:val="00B70B36"/>
    <w:rsid w:val="00B70D88"/>
    <w:rsid w:val="00B70EC2"/>
    <w:rsid w:val="00B70EF9"/>
    <w:rsid w:val="00B7184D"/>
    <w:rsid w:val="00B71EBB"/>
    <w:rsid w:val="00B72054"/>
    <w:rsid w:val="00B73102"/>
    <w:rsid w:val="00B7316F"/>
    <w:rsid w:val="00B732DF"/>
    <w:rsid w:val="00B7337F"/>
    <w:rsid w:val="00B73C95"/>
    <w:rsid w:val="00B73E86"/>
    <w:rsid w:val="00B7477B"/>
    <w:rsid w:val="00B74FB0"/>
    <w:rsid w:val="00B75750"/>
    <w:rsid w:val="00B75BC7"/>
    <w:rsid w:val="00B75DE6"/>
    <w:rsid w:val="00B76478"/>
    <w:rsid w:val="00B768DA"/>
    <w:rsid w:val="00B80308"/>
    <w:rsid w:val="00B81739"/>
    <w:rsid w:val="00B81E00"/>
    <w:rsid w:val="00B82269"/>
    <w:rsid w:val="00B8243B"/>
    <w:rsid w:val="00B827B9"/>
    <w:rsid w:val="00B82B08"/>
    <w:rsid w:val="00B82BB7"/>
    <w:rsid w:val="00B82F70"/>
    <w:rsid w:val="00B83056"/>
    <w:rsid w:val="00B83A47"/>
    <w:rsid w:val="00B83D3F"/>
    <w:rsid w:val="00B841D2"/>
    <w:rsid w:val="00B84EB1"/>
    <w:rsid w:val="00B84EE3"/>
    <w:rsid w:val="00B851EA"/>
    <w:rsid w:val="00B85277"/>
    <w:rsid w:val="00B8559F"/>
    <w:rsid w:val="00B858FD"/>
    <w:rsid w:val="00B859DF"/>
    <w:rsid w:val="00B85BCE"/>
    <w:rsid w:val="00B90C4E"/>
    <w:rsid w:val="00B918EB"/>
    <w:rsid w:val="00B91DEC"/>
    <w:rsid w:val="00B92D08"/>
    <w:rsid w:val="00B93565"/>
    <w:rsid w:val="00B9396F"/>
    <w:rsid w:val="00B94BE8"/>
    <w:rsid w:val="00B94BEE"/>
    <w:rsid w:val="00B952D2"/>
    <w:rsid w:val="00B9538F"/>
    <w:rsid w:val="00B95462"/>
    <w:rsid w:val="00B95AFC"/>
    <w:rsid w:val="00B963C2"/>
    <w:rsid w:val="00B96675"/>
    <w:rsid w:val="00B9701D"/>
    <w:rsid w:val="00B97951"/>
    <w:rsid w:val="00B979C4"/>
    <w:rsid w:val="00BA13AC"/>
    <w:rsid w:val="00BA1B82"/>
    <w:rsid w:val="00BA2BA3"/>
    <w:rsid w:val="00BA2E00"/>
    <w:rsid w:val="00BA3DF2"/>
    <w:rsid w:val="00BA4E77"/>
    <w:rsid w:val="00BA53FB"/>
    <w:rsid w:val="00BA640F"/>
    <w:rsid w:val="00BA6414"/>
    <w:rsid w:val="00BA65F9"/>
    <w:rsid w:val="00BA6DF2"/>
    <w:rsid w:val="00BA6EF4"/>
    <w:rsid w:val="00BB0408"/>
    <w:rsid w:val="00BB0499"/>
    <w:rsid w:val="00BB0C3D"/>
    <w:rsid w:val="00BB128F"/>
    <w:rsid w:val="00BB1364"/>
    <w:rsid w:val="00BB1861"/>
    <w:rsid w:val="00BB2451"/>
    <w:rsid w:val="00BB2577"/>
    <w:rsid w:val="00BB2A31"/>
    <w:rsid w:val="00BB3289"/>
    <w:rsid w:val="00BB383A"/>
    <w:rsid w:val="00BB4A0A"/>
    <w:rsid w:val="00BB4E4B"/>
    <w:rsid w:val="00BB652C"/>
    <w:rsid w:val="00BB6DFE"/>
    <w:rsid w:val="00BB76D2"/>
    <w:rsid w:val="00BB7859"/>
    <w:rsid w:val="00BB7BBF"/>
    <w:rsid w:val="00BB7D70"/>
    <w:rsid w:val="00BC0644"/>
    <w:rsid w:val="00BC0D7C"/>
    <w:rsid w:val="00BC0F90"/>
    <w:rsid w:val="00BC1115"/>
    <w:rsid w:val="00BC1D61"/>
    <w:rsid w:val="00BC1E2D"/>
    <w:rsid w:val="00BC2060"/>
    <w:rsid w:val="00BC28E2"/>
    <w:rsid w:val="00BC2FCB"/>
    <w:rsid w:val="00BC371E"/>
    <w:rsid w:val="00BC39C8"/>
    <w:rsid w:val="00BC3B87"/>
    <w:rsid w:val="00BC703C"/>
    <w:rsid w:val="00BC78BE"/>
    <w:rsid w:val="00BC7E8F"/>
    <w:rsid w:val="00BD1775"/>
    <w:rsid w:val="00BD230B"/>
    <w:rsid w:val="00BD2CAE"/>
    <w:rsid w:val="00BD3276"/>
    <w:rsid w:val="00BD3312"/>
    <w:rsid w:val="00BD436E"/>
    <w:rsid w:val="00BD4C0E"/>
    <w:rsid w:val="00BD5278"/>
    <w:rsid w:val="00BD5A0E"/>
    <w:rsid w:val="00BD5E89"/>
    <w:rsid w:val="00BD5EE0"/>
    <w:rsid w:val="00BD6127"/>
    <w:rsid w:val="00BD7104"/>
    <w:rsid w:val="00BD7417"/>
    <w:rsid w:val="00BD7819"/>
    <w:rsid w:val="00BE0F52"/>
    <w:rsid w:val="00BE145A"/>
    <w:rsid w:val="00BE17C2"/>
    <w:rsid w:val="00BE1E06"/>
    <w:rsid w:val="00BE2839"/>
    <w:rsid w:val="00BE289C"/>
    <w:rsid w:val="00BE3226"/>
    <w:rsid w:val="00BE412A"/>
    <w:rsid w:val="00BE4801"/>
    <w:rsid w:val="00BE4838"/>
    <w:rsid w:val="00BE4F4F"/>
    <w:rsid w:val="00BE5163"/>
    <w:rsid w:val="00BE55A6"/>
    <w:rsid w:val="00BE586D"/>
    <w:rsid w:val="00BE59B9"/>
    <w:rsid w:val="00BE5DFF"/>
    <w:rsid w:val="00BE603D"/>
    <w:rsid w:val="00BE79B4"/>
    <w:rsid w:val="00BF0CE1"/>
    <w:rsid w:val="00BF17A2"/>
    <w:rsid w:val="00BF1BD8"/>
    <w:rsid w:val="00BF39A8"/>
    <w:rsid w:val="00BF4819"/>
    <w:rsid w:val="00BF50B2"/>
    <w:rsid w:val="00BF59C8"/>
    <w:rsid w:val="00BF5B48"/>
    <w:rsid w:val="00BF63A6"/>
    <w:rsid w:val="00BF69DA"/>
    <w:rsid w:val="00BF71EB"/>
    <w:rsid w:val="00BF7B20"/>
    <w:rsid w:val="00C0239E"/>
    <w:rsid w:val="00C028ED"/>
    <w:rsid w:val="00C02E12"/>
    <w:rsid w:val="00C04939"/>
    <w:rsid w:val="00C04A14"/>
    <w:rsid w:val="00C05E1C"/>
    <w:rsid w:val="00C064A0"/>
    <w:rsid w:val="00C07138"/>
    <w:rsid w:val="00C07C0A"/>
    <w:rsid w:val="00C07C69"/>
    <w:rsid w:val="00C10246"/>
    <w:rsid w:val="00C10417"/>
    <w:rsid w:val="00C1106C"/>
    <w:rsid w:val="00C1148A"/>
    <w:rsid w:val="00C123E9"/>
    <w:rsid w:val="00C13086"/>
    <w:rsid w:val="00C131CC"/>
    <w:rsid w:val="00C14FE9"/>
    <w:rsid w:val="00C15169"/>
    <w:rsid w:val="00C15219"/>
    <w:rsid w:val="00C1576A"/>
    <w:rsid w:val="00C157C5"/>
    <w:rsid w:val="00C1596C"/>
    <w:rsid w:val="00C15972"/>
    <w:rsid w:val="00C15E28"/>
    <w:rsid w:val="00C16396"/>
    <w:rsid w:val="00C1642F"/>
    <w:rsid w:val="00C16869"/>
    <w:rsid w:val="00C175B5"/>
    <w:rsid w:val="00C17971"/>
    <w:rsid w:val="00C17DE9"/>
    <w:rsid w:val="00C21485"/>
    <w:rsid w:val="00C2179A"/>
    <w:rsid w:val="00C23B73"/>
    <w:rsid w:val="00C24420"/>
    <w:rsid w:val="00C244E2"/>
    <w:rsid w:val="00C25FE2"/>
    <w:rsid w:val="00C27417"/>
    <w:rsid w:val="00C2769F"/>
    <w:rsid w:val="00C27A64"/>
    <w:rsid w:val="00C27D6E"/>
    <w:rsid w:val="00C30934"/>
    <w:rsid w:val="00C31093"/>
    <w:rsid w:val="00C3168E"/>
    <w:rsid w:val="00C31F15"/>
    <w:rsid w:val="00C32F49"/>
    <w:rsid w:val="00C33C59"/>
    <w:rsid w:val="00C349FF"/>
    <w:rsid w:val="00C357EF"/>
    <w:rsid w:val="00C37CCC"/>
    <w:rsid w:val="00C404B7"/>
    <w:rsid w:val="00C405EF"/>
    <w:rsid w:val="00C4092F"/>
    <w:rsid w:val="00C4130D"/>
    <w:rsid w:val="00C41316"/>
    <w:rsid w:val="00C416FF"/>
    <w:rsid w:val="00C42FA2"/>
    <w:rsid w:val="00C437F3"/>
    <w:rsid w:val="00C443BE"/>
    <w:rsid w:val="00C4554D"/>
    <w:rsid w:val="00C456D5"/>
    <w:rsid w:val="00C45860"/>
    <w:rsid w:val="00C46713"/>
    <w:rsid w:val="00C46BF3"/>
    <w:rsid w:val="00C50299"/>
    <w:rsid w:val="00C5057D"/>
    <w:rsid w:val="00C50907"/>
    <w:rsid w:val="00C50B83"/>
    <w:rsid w:val="00C52477"/>
    <w:rsid w:val="00C532EE"/>
    <w:rsid w:val="00C5373A"/>
    <w:rsid w:val="00C53B94"/>
    <w:rsid w:val="00C53D84"/>
    <w:rsid w:val="00C5406E"/>
    <w:rsid w:val="00C54D33"/>
    <w:rsid w:val="00C5537D"/>
    <w:rsid w:val="00C5547F"/>
    <w:rsid w:val="00C568E1"/>
    <w:rsid w:val="00C56A05"/>
    <w:rsid w:val="00C56F78"/>
    <w:rsid w:val="00C57085"/>
    <w:rsid w:val="00C6078F"/>
    <w:rsid w:val="00C60860"/>
    <w:rsid w:val="00C60AF5"/>
    <w:rsid w:val="00C61AEA"/>
    <w:rsid w:val="00C61F0E"/>
    <w:rsid w:val="00C62131"/>
    <w:rsid w:val="00C62AD0"/>
    <w:rsid w:val="00C62F59"/>
    <w:rsid w:val="00C63039"/>
    <w:rsid w:val="00C65059"/>
    <w:rsid w:val="00C65A37"/>
    <w:rsid w:val="00C65A48"/>
    <w:rsid w:val="00C660F2"/>
    <w:rsid w:val="00C66E23"/>
    <w:rsid w:val="00C6748E"/>
    <w:rsid w:val="00C6763E"/>
    <w:rsid w:val="00C678DB"/>
    <w:rsid w:val="00C67CAF"/>
    <w:rsid w:val="00C703E3"/>
    <w:rsid w:val="00C70462"/>
    <w:rsid w:val="00C706E4"/>
    <w:rsid w:val="00C70AE3"/>
    <w:rsid w:val="00C7222A"/>
    <w:rsid w:val="00C7305D"/>
    <w:rsid w:val="00C73869"/>
    <w:rsid w:val="00C73903"/>
    <w:rsid w:val="00C742D8"/>
    <w:rsid w:val="00C74B52"/>
    <w:rsid w:val="00C751A0"/>
    <w:rsid w:val="00C7598C"/>
    <w:rsid w:val="00C75FA6"/>
    <w:rsid w:val="00C76CE0"/>
    <w:rsid w:val="00C77077"/>
    <w:rsid w:val="00C80ACE"/>
    <w:rsid w:val="00C81556"/>
    <w:rsid w:val="00C8165B"/>
    <w:rsid w:val="00C81B24"/>
    <w:rsid w:val="00C81D37"/>
    <w:rsid w:val="00C827B3"/>
    <w:rsid w:val="00C82D59"/>
    <w:rsid w:val="00C83150"/>
    <w:rsid w:val="00C83369"/>
    <w:rsid w:val="00C83BE0"/>
    <w:rsid w:val="00C83D76"/>
    <w:rsid w:val="00C84726"/>
    <w:rsid w:val="00C84AEA"/>
    <w:rsid w:val="00C86C34"/>
    <w:rsid w:val="00C87381"/>
    <w:rsid w:val="00C87739"/>
    <w:rsid w:val="00C8782C"/>
    <w:rsid w:val="00C87B5E"/>
    <w:rsid w:val="00C9105B"/>
    <w:rsid w:val="00C9106A"/>
    <w:rsid w:val="00C91CC2"/>
    <w:rsid w:val="00C92890"/>
    <w:rsid w:val="00C92EB7"/>
    <w:rsid w:val="00C9308A"/>
    <w:rsid w:val="00C951B7"/>
    <w:rsid w:val="00C95605"/>
    <w:rsid w:val="00C95FB0"/>
    <w:rsid w:val="00C964C5"/>
    <w:rsid w:val="00C968BC"/>
    <w:rsid w:val="00C96CFC"/>
    <w:rsid w:val="00C97189"/>
    <w:rsid w:val="00C97BC7"/>
    <w:rsid w:val="00C97C33"/>
    <w:rsid w:val="00C97FC2"/>
    <w:rsid w:val="00CA0033"/>
    <w:rsid w:val="00CA0B86"/>
    <w:rsid w:val="00CA12A9"/>
    <w:rsid w:val="00CA1955"/>
    <w:rsid w:val="00CA1A18"/>
    <w:rsid w:val="00CA2639"/>
    <w:rsid w:val="00CA3A25"/>
    <w:rsid w:val="00CA3E7F"/>
    <w:rsid w:val="00CA5C32"/>
    <w:rsid w:val="00CA66AA"/>
    <w:rsid w:val="00CA676D"/>
    <w:rsid w:val="00CB14EE"/>
    <w:rsid w:val="00CB204A"/>
    <w:rsid w:val="00CB2659"/>
    <w:rsid w:val="00CB37C6"/>
    <w:rsid w:val="00CB3F2F"/>
    <w:rsid w:val="00CB41C9"/>
    <w:rsid w:val="00CB5589"/>
    <w:rsid w:val="00CB5F11"/>
    <w:rsid w:val="00CB6282"/>
    <w:rsid w:val="00CB6E15"/>
    <w:rsid w:val="00CB7174"/>
    <w:rsid w:val="00CB7551"/>
    <w:rsid w:val="00CB7653"/>
    <w:rsid w:val="00CB78E3"/>
    <w:rsid w:val="00CB7BA5"/>
    <w:rsid w:val="00CC0117"/>
    <w:rsid w:val="00CC0837"/>
    <w:rsid w:val="00CC2DB9"/>
    <w:rsid w:val="00CC449E"/>
    <w:rsid w:val="00CC4815"/>
    <w:rsid w:val="00CC51AF"/>
    <w:rsid w:val="00CC5916"/>
    <w:rsid w:val="00CC6BB0"/>
    <w:rsid w:val="00CC6C1A"/>
    <w:rsid w:val="00CD04E4"/>
    <w:rsid w:val="00CD202F"/>
    <w:rsid w:val="00CD30A0"/>
    <w:rsid w:val="00CD3202"/>
    <w:rsid w:val="00CD3852"/>
    <w:rsid w:val="00CD46DC"/>
    <w:rsid w:val="00CD61CA"/>
    <w:rsid w:val="00CD7A14"/>
    <w:rsid w:val="00CE0B79"/>
    <w:rsid w:val="00CE0C05"/>
    <w:rsid w:val="00CE2A9F"/>
    <w:rsid w:val="00CE353B"/>
    <w:rsid w:val="00CE35A3"/>
    <w:rsid w:val="00CE3D48"/>
    <w:rsid w:val="00CE403C"/>
    <w:rsid w:val="00CE413E"/>
    <w:rsid w:val="00CE4667"/>
    <w:rsid w:val="00CE4ED5"/>
    <w:rsid w:val="00CE6D64"/>
    <w:rsid w:val="00CF0536"/>
    <w:rsid w:val="00CF0797"/>
    <w:rsid w:val="00CF0B9D"/>
    <w:rsid w:val="00CF0BB0"/>
    <w:rsid w:val="00CF0F72"/>
    <w:rsid w:val="00CF26A2"/>
    <w:rsid w:val="00CF2915"/>
    <w:rsid w:val="00CF2FEF"/>
    <w:rsid w:val="00CF3740"/>
    <w:rsid w:val="00CF37C9"/>
    <w:rsid w:val="00CF461F"/>
    <w:rsid w:val="00CF50E8"/>
    <w:rsid w:val="00CF56B8"/>
    <w:rsid w:val="00CF5DA0"/>
    <w:rsid w:val="00CF7454"/>
    <w:rsid w:val="00CF7DF9"/>
    <w:rsid w:val="00D003E0"/>
    <w:rsid w:val="00D004E5"/>
    <w:rsid w:val="00D008C0"/>
    <w:rsid w:val="00D01B3A"/>
    <w:rsid w:val="00D01E80"/>
    <w:rsid w:val="00D02B88"/>
    <w:rsid w:val="00D02D79"/>
    <w:rsid w:val="00D03D0F"/>
    <w:rsid w:val="00D04090"/>
    <w:rsid w:val="00D04D51"/>
    <w:rsid w:val="00D04F2A"/>
    <w:rsid w:val="00D05B0C"/>
    <w:rsid w:val="00D05D68"/>
    <w:rsid w:val="00D060C7"/>
    <w:rsid w:val="00D06C58"/>
    <w:rsid w:val="00D07576"/>
    <w:rsid w:val="00D07DC2"/>
    <w:rsid w:val="00D1051F"/>
    <w:rsid w:val="00D10640"/>
    <w:rsid w:val="00D10FDB"/>
    <w:rsid w:val="00D1187B"/>
    <w:rsid w:val="00D12121"/>
    <w:rsid w:val="00D12696"/>
    <w:rsid w:val="00D12F75"/>
    <w:rsid w:val="00D130D7"/>
    <w:rsid w:val="00D1344F"/>
    <w:rsid w:val="00D138CB"/>
    <w:rsid w:val="00D14962"/>
    <w:rsid w:val="00D15B38"/>
    <w:rsid w:val="00D15D62"/>
    <w:rsid w:val="00D17B16"/>
    <w:rsid w:val="00D203A4"/>
    <w:rsid w:val="00D2082F"/>
    <w:rsid w:val="00D209FD"/>
    <w:rsid w:val="00D20D15"/>
    <w:rsid w:val="00D212C0"/>
    <w:rsid w:val="00D21BAC"/>
    <w:rsid w:val="00D2200F"/>
    <w:rsid w:val="00D22912"/>
    <w:rsid w:val="00D22D3F"/>
    <w:rsid w:val="00D22D53"/>
    <w:rsid w:val="00D232F5"/>
    <w:rsid w:val="00D23F62"/>
    <w:rsid w:val="00D259AB"/>
    <w:rsid w:val="00D25A5C"/>
    <w:rsid w:val="00D2626C"/>
    <w:rsid w:val="00D27077"/>
    <w:rsid w:val="00D31049"/>
    <w:rsid w:val="00D31250"/>
    <w:rsid w:val="00D316B8"/>
    <w:rsid w:val="00D317C6"/>
    <w:rsid w:val="00D31C84"/>
    <w:rsid w:val="00D32397"/>
    <w:rsid w:val="00D32748"/>
    <w:rsid w:val="00D335EC"/>
    <w:rsid w:val="00D33DDF"/>
    <w:rsid w:val="00D346BF"/>
    <w:rsid w:val="00D34E6C"/>
    <w:rsid w:val="00D35115"/>
    <w:rsid w:val="00D35FFA"/>
    <w:rsid w:val="00D365B7"/>
    <w:rsid w:val="00D370D9"/>
    <w:rsid w:val="00D37512"/>
    <w:rsid w:val="00D40002"/>
    <w:rsid w:val="00D4069E"/>
    <w:rsid w:val="00D414C4"/>
    <w:rsid w:val="00D4191F"/>
    <w:rsid w:val="00D419E9"/>
    <w:rsid w:val="00D41E5F"/>
    <w:rsid w:val="00D422BC"/>
    <w:rsid w:val="00D42B1C"/>
    <w:rsid w:val="00D42E6C"/>
    <w:rsid w:val="00D43EC9"/>
    <w:rsid w:val="00D442E4"/>
    <w:rsid w:val="00D44A3E"/>
    <w:rsid w:val="00D44AAD"/>
    <w:rsid w:val="00D4508D"/>
    <w:rsid w:val="00D450D7"/>
    <w:rsid w:val="00D45450"/>
    <w:rsid w:val="00D45683"/>
    <w:rsid w:val="00D46E3D"/>
    <w:rsid w:val="00D46E88"/>
    <w:rsid w:val="00D500BE"/>
    <w:rsid w:val="00D502DF"/>
    <w:rsid w:val="00D50734"/>
    <w:rsid w:val="00D509FF"/>
    <w:rsid w:val="00D51D42"/>
    <w:rsid w:val="00D54D85"/>
    <w:rsid w:val="00D55411"/>
    <w:rsid w:val="00D55468"/>
    <w:rsid w:val="00D554D7"/>
    <w:rsid w:val="00D5629D"/>
    <w:rsid w:val="00D56700"/>
    <w:rsid w:val="00D56D76"/>
    <w:rsid w:val="00D57F5A"/>
    <w:rsid w:val="00D620D8"/>
    <w:rsid w:val="00D62E93"/>
    <w:rsid w:val="00D631F4"/>
    <w:rsid w:val="00D63303"/>
    <w:rsid w:val="00D63CD4"/>
    <w:rsid w:val="00D65450"/>
    <w:rsid w:val="00D657E0"/>
    <w:rsid w:val="00D65AF9"/>
    <w:rsid w:val="00D65C2E"/>
    <w:rsid w:val="00D65FED"/>
    <w:rsid w:val="00D669C3"/>
    <w:rsid w:val="00D66EDF"/>
    <w:rsid w:val="00D67292"/>
    <w:rsid w:val="00D6749D"/>
    <w:rsid w:val="00D6772D"/>
    <w:rsid w:val="00D67D94"/>
    <w:rsid w:val="00D70229"/>
    <w:rsid w:val="00D705BA"/>
    <w:rsid w:val="00D7070C"/>
    <w:rsid w:val="00D71012"/>
    <w:rsid w:val="00D716F6"/>
    <w:rsid w:val="00D71723"/>
    <w:rsid w:val="00D721FC"/>
    <w:rsid w:val="00D7288F"/>
    <w:rsid w:val="00D73249"/>
    <w:rsid w:val="00D73462"/>
    <w:rsid w:val="00D738A5"/>
    <w:rsid w:val="00D74B3D"/>
    <w:rsid w:val="00D7508E"/>
    <w:rsid w:val="00D7695F"/>
    <w:rsid w:val="00D80454"/>
    <w:rsid w:val="00D80BDF"/>
    <w:rsid w:val="00D8114A"/>
    <w:rsid w:val="00D815E7"/>
    <w:rsid w:val="00D8171B"/>
    <w:rsid w:val="00D81A46"/>
    <w:rsid w:val="00D824A0"/>
    <w:rsid w:val="00D83CAA"/>
    <w:rsid w:val="00D84021"/>
    <w:rsid w:val="00D845DE"/>
    <w:rsid w:val="00D84C33"/>
    <w:rsid w:val="00D84D9B"/>
    <w:rsid w:val="00D86722"/>
    <w:rsid w:val="00D86770"/>
    <w:rsid w:val="00D86B0C"/>
    <w:rsid w:val="00D86B41"/>
    <w:rsid w:val="00D876B7"/>
    <w:rsid w:val="00D87EEE"/>
    <w:rsid w:val="00D91623"/>
    <w:rsid w:val="00D92061"/>
    <w:rsid w:val="00D9291E"/>
    <w:rsid w:val="00D938A7"/>
    <w:rsid w:val="00D938E0"/>
    <w:rsid w:val="00D939DA"/>
    <w:rsid w:val="00D93B30"/>
    <w:rsid w:val="00D93B60"/>
    <w:rsid w:val="00D952A4"/>
    <w:rsid w:val="00D96434"/>
    <w:rsid w:val="00D97ABC"/>
    <w:rsid w:val="00D97F69"/>
    <w:rsid w:val="00D97F6E"/>
    <w:rsid w:val="00DA0599"/>
    <w:rsid w:val="00DA1847"/>
    <w:rsid w:val="00DA29D1"/>
    <w:rsid w:val="00DA3A3D"/>
    <w:rsid w:val="00DA3A55"/>
    <w:rsid w:val="00DA3E28"/>
    <w:rsid w:val="00DA41F4"/>
    <w:rsid w:val="00DA48AB"/>
    <w:rsid w:val="00DA4B56"/>
    <w:rsid w:val="00DA6441"/>
    <w:rsid w:val="00DA657C"/>
    <w:rsid w:val="00DA6620"/>
    <w:rsid w:val="00DA67E1"/>
    <w:rsid w:val="00DA7D99"/>
    <w:rsid w:val="00DB00A2"/>
    <w:rsid w:val="00DB09F6"/>
    <w:rsid w:val="00DB174F"/>
    <w:rsid w:val="00DB1D54"/>
    <w:rsid w:val="00DB210B"/>
    <w:rsid w:val="00DB2891"/>
    <w:rsid w:val="00DB2C14"/>
    <w:rsid w:val="00DB3157"/>
    <w:rsid w:val="00DB344E"/>
    <w:rsid w:val="00DB3511"/>
    <w:rsid w:val="00DB39D8"/>
    <w:rsid w:val="00DB3A4F"/>
    <w:rsid w:val="00DB3D67"/>
    <w:rsid w:val="00DB4760"/>
    <w:rsid w:val="00DB49AE"/>
    <w:rsid w:val="00DB5B0B"/>
    <w:rsid w:val="00DB5F07"/>
    <w:rsid w:val="00DB6642"/>
    <w:rsid w:val="00DB6BE4"/>
    <w:rsid w:val="00DB7DF4"/>
    <w:rsid w:val="00DB7E75"/>
    <w:rsid w:val="00DC056E"/>
    <w:rsid w:val="00DC0B1C"/>
    <w:rsid w:val="00DC11DF"/>
    <w:rsid w:val="00DC14A3"/>
    <w:rsid w:val="00DC21B8"/>
    <w:rsid w:val="00DC22C0"/>
    <w:rsid w:val="00DC2FAA"/>
    <w:rsid w:val="00DC41E7"/>
    <w:rsid w:val="00DC4730"/>
    <w:rsid w:val="00DC4747"/>
    <w:rsid w:val="00DC58D2"/>
    <w:rsid w:val="00DC68C2"/>
    <w:rsid w:val="00DD0C8C"/>
    <w:rsid w:val="00DD2448"/>
    <w:rsid w:val="00DD2624"/>
    <w:rsid w:val="00DD3AB5"/>
    <w:rsid w:val="00DD4A5C"/>
    <w:rsid w:val="00DD50BB"/>
    <w:rsid w:val="00DD5147"/>
    <w:rsid w:val="00DD561C"/>
    <w:rsid w:val="00DD5C62"/>
    <w:rsid w:val="00DD781E"/>
    <w:rsid w:val="00DD7A89"/>
    <w:rsid w:val="00DD7D57"/>
    <w:rsid w:val="00DE059E"/>
    <w:rsid w:val="00DE0BCB"/>
    <w:rsid w:val="00DE193F"/>
    <w:rsid w:val="00DE39A7"/>
    <w:rsid w:val="00DE3B2A"/>
    <w:rsid w:val="00DE4A7D"/>
    <w:rsid w:val="00DE4C2B"/>
    <w:rsid w:val="00DE513D"/>
    <w:rsid w:val="00DE53E5"/>
    <w:rsid w:val="00DE5F3D"/>
    <w:rsid w:val="00DE6E23"/>
    <w:rsid w:val="00DE7A4D"/>
    <w:rsid w:val="00DE7DBF"/>
    <w:rsid w:val="00DF09CD"/>
    <w:rsid w:val="00DF16E8"/>
    <w:rsid w:val="00DF2916"/>
    <w:rsid w:val="00DF293F"/>
    <w:rsid w:val="00DF2ECD"/>
    <w:rsid w:val="00DF31F6"/>
    <w:rsid w:val="00DF3D83"/>
    <w:rsid w:val="00DF4FF4"/>
    <w:rsid w:val="00DF534D"/>
    <w:rsid w:val="00DF53C5"/>
    <w:rsid w:val="00DF5522"/>
    <w:rsid w:val="00DF7730"/>
    <w:rsid w:val="00DF788E"/>
    <w:rsid w:val="00DF7F7A"/>
    <w:rsid w:val="00E008EB"/>
    <w:rsid w:val="00E01931"/>
    <w:rsid w:val="00E02109"/>
    <w:rsid w:val="00E02501"/>
    <w:rsid w:val="00E02F01"/>
    <w:rsid w:val="00E03100"/>
    <w:rsid w:val="00E03251"/>
    <w:rsid w:val="00E03956"/>
    <w:rsid w:val="00E06977"/>
    <w:rsid w:val="00E06C4E"/>
    <w:rsid w:val="00E10648"/>
    <w:rsid w:val="00E10D58"/>
    <w:rsid w:val="00E12071"/>
    <w:rsid w:val="00E12196"/>
    <w:rsid w:val="00E12643"/>
    <w:rsid w:val="00E12F69"/>
    <w:rsid w:val="00E148D7"/>
    <w:rsid w:val="00E15588"/>
    <w:rsid w:val="00E155F5"/>
    <w:rsid w:val="00E1580F"/>
    <w:rsid w:val="00E158B1"/>
    <w:rsid w:val="00E16E59"/>
    <w:rsid w:val="00E17913"/>
    <w:rsid w:val="00E208A6"/>
    <w:rsid w:val="00E208D5"/>
    <w:rsid w:val="00E20CA0"/>
    <w:rsid w:val="00E22680"/>
    <w:rsid w:val="00E233E7"/>
    <w:rsid w:val="00E24002"/>
    <w:rsid w:val="00E24E39"/>
    <w:rsid w:val="00E25502"/>
    <w:rsid w:val="00E256C5"/>
    <w:rsid w:val="00E25A8E"/>
    <w:rsid w:val="00E26304"/>
    <w:rsid w:val="00E263D6"/>
    <w:rsid w:val="00E26599"/>
    <w:rsid w:val="00E2728C"/>
    <w:rsid w:val="00E27452"/>
    <w:rsid w:val="00E306C0"/>
    <w:rsid w:val="00E318CD"/>
    <w:rsid w:val="00E32095"/>
    <w:rsid w:val="00E321C3"/>
    <w:rsid w:val="00E32474"/>
    <w:rsid w:val="00E32F84"/>
    <w:rsid w:val="00E33915"/>
    <w:rsid w:val="00E34D7E"/>
    <w:rsid w:val="00E35A46"/>
    <w:rsid w:val="00E364D8"/>
    <w:rsid w:val="00E365DD"/>
    <w:rsid w:val="00E36704"/>
    <w:rsid w:val="00E36951"/>
    <w:rsid w:val="00E407A1"/>
    <w:rsid w:val="00E4112B"/>
    <w:rsid w:val="00E414F7"/>
    <w:rsid w:val="00E41890"/>
    <w:rsid w:val="00E4277F"/>
    <w:rsid w:val="00E43221"/>
    <w:rsid w:val="00E43D0D"/>
    <w:rsid w:val="00E4432E"/>
    <w:rsid w:val="00E44547"/>
    <w:rsid w:val="00E44EEE"/>
    <w:rsid w:val="00E45903"/>
    <w:rsid w:val="00E5103E"/>
    <w:rsid w:val="00E51EA4"/>
    <w:rsid w:val="00E52545"/>
    <w:rsid w:val="00E5389A"/>
    <w:rsid w:val="00E53B87"/>
    <w:rsid w:val="00E54947"/>
    <w:rsid w:val="00E54DAE"/>
    <w:rsid w:val="00E55332"/>
    <w:rsid w:val="00E55692"/>
    <w:rsid w:val="00E55705"/>
    <w:rsid w:val="00E56143"/>
    <w:rsid w:val="00E56527"/>
    <w:rsid w:val="00E568AE"/>
    <w:rsid w:val="00E578BC"/>
    <w:rsid w:val="00E5799A"/>
    <w:rsid w:val="00E61185"/>
    <w:rsid w:val="00E615E3"/>
    <w:rsid w:val="00E622C0"/>
    <w:rsid w:val="00E62FA1"/>
    <w:rsid w:val="00E63017"/>
    <w:rsid w:val="00E6346C"/>
    <w:rsid w:val="00E63BF4"/>
    <w:rsid w:val="00E63DC9"/>
    <w:rsid w:val="00E640EC"/>
    <w:rsid w:val="00E64691"/>
    <w:rsid w:val="00E64CE6"/>
    <w:rsid w:val="00E660C5"/>
    <w:rsid w:val="00E66D2E"/>
    <w:rsid w:val="00E676BC"/>
    <w:rsid w:val="00E678C7"/>
    <w:rsid w:val="00E705F4"/>
    <w:rsid w:val="00E71454"/>
    <w:rsid w:val="00E71BA6"/>
    <w:rsid w:val="00E71CC3"/>
    <w:rsid w:val="00E72254"/>
    <w:rsid w:val="00E736A9"/>
    <w:rsid w:val="00E73E45"/>
    <w:rsid w:val="00E742C4"/>
    <w:rsid w:val="00E74DA9"/>
    <w:rsid w:val="00E74E5F"/>
    <w:rsid w:val="00E75184"/>
    <w:rsid w:val="00E753B9"/>
    <w:rsid w:val="00E75771"/>
    <w:rsid w:val="00E8101D"/>
    <w:rsid w:val="00E814E7"/>
    <w:rsid w:val="00E81837"/>
    <w:rsid w:val="00E8231B"/>
    <w:rsid w:val="00E82B30"/>
    <w:rsid w:val="00E82C35"/>
    <w:rsid w:val="00E82D1D"/>
    <w:rsid w:val="00E83B51"/>
    <w:rsid w:val="00E842CF"/>
    <w:rsid w:val="00E84C58"/>
    <w:rsid w:val="00E860A9"/>
    <w:rsid w:val="00E87BAC"/>
    <w:rsid w:val="00E87FA1"/>
    <w:rsid w:val="00E90758"/>
    <w:rsid w:val="00E9091B"/>
    <w:rsid w:val="00E90AC7"/>
    <w:rsid w:val="00E90F91"/>
    <w:rsid w:val="00E918C1"/>
    <w:rsid w:val="00E91E55"/>
    <w:rsid w:val="00E9203C"/>
    <w:rsid w:val="00E92266"/>
    <w:rsid w:val="00E922B9"/>
    <w:rsid w:val="00E92E41"/>
    <w:rsid w:val="00E9365F"/>
    <w:rsid w:val="00E93BE0"/>
    <w:rsid w:val="00E946B4"/>
    <w:rsid w:val="00E948B5"/>
    <w:rsid w:val="00E95523"/>
    <w:rsid w:val="00E95B86"/>
    <w:rsid w:val="00E95ECB"/>
    <w:rsid w:val="00E964EA"/>
    <w:rsid w:val="00E97299"/>
    <w:rsid w:val="00E97596"/>
    <w:rsid w:val="00EA107A"/>
    <w:rsid w:val="00EA1134"/>
    <w:rsid w:val="00EA3182"/>
    <w:rsid w:val="00EA32E9"/>
    <w:rsid w:val="00EA344F"/>
    <w:rsid w:val="00EA3E77"/>
    <w:rsid w:val="00EA47AD"/>
    <w:rsid w:val="00EA48B4"/>
    <w:rsid w:val="00EA6DEB"/>
    <w:rsid w:val="00EA734F"/>
    <w:rsid w:val="00EA7726"/>
    <w:rsid w:val="00EA7917"/>
    <w:rsid w:val="00EB07E1"/>
    <w:rsid w:val="00EB0E48"/>
    <w:rsid w:val="00EB108B"/>
    <w:rsid w:val="00EB18CB"/>
    <w:rsid w:val="00EB1BB6"/>
    <w:rsid w:val="00EB1BE2"/>
    <w:rsid w:val="00EB1D61"/>
    <w:rsid w:val="00EB203A"/>
    <w:rsid w:val="00EB2279"/>
    <w:rsid w:val="00EB29B7"/>
    <w:rsid w:val="00EB2EC0"/>
    <w:rsid w:val="00EB42FF"/>
    <w:rsid w:val="00EB4C41"/>
    <w:rsid w:val="00EB513C"/>
    <w:rsid w:val="00EB519A"/>
    <w:rsid w:val="00EB5981"/>
    <w:rsid w:val="00EB6593"/>
    <w:rsid w:val="00EB687C"/>
    <w:rsid w:val="00EB6F40"/>
    <w:rsid w:val="00EB6FBE"/>
    <w:rsid w:val="00EB7EA3"/>
    <w:rsid w:val="00EC000B"/>
    <w:rsid w:val="00EC010F"/>
    <w:rsid w:val="00EC033A"/>
    <w:rsid w:val="00EC21D9"/>
    <w:rsid w:val="00EC2D1B"/>
    <w:rsid w:val="00EC2FF7"/>
    <w:rsid w:val="00EC3AF3"/>
    <w:rsid w:val="00EC53C6"/>
    <w:rsid w:val="00EC565E"/>
    <w:rsid w:val="00EC5FBE"/>
    <w:rsid w:val="00EC5FE4"/>
    <w:rsid w:val="00EC6101"/>
    <w:rsid w:val="00EC63CE"/>
    <w:rsid w:val="00EC669D"/>
    <w:rsid w:val="00EC7CC7"/>
    <w:rsid w:val="00ED0594"/>
    <w:rsid w:val="00ED0D49"/>
    <w:rsid w:val="00ED0F81"/>
    <w:rsid w:val="00ED187D"/>
    <w:rsid w:val="00ED2126"/>
    <w:rsid w:val="00ED233D"/>
    <w:rsid w:val="00ED2887"/>
    <w:rsid w:val="00ED31CC"/>
    <w:rsid w:val="00ED36F7"/>
    <w:rsid w:val="00ED44A0"/>
    <w:rsid w:val="00ED4A09"/>
    <w:rsid w:val="00ED4BBB"/>
    <w:rsid w:val="00ED59B1"/>
    <w:rsid w:val="00ED5C93"/>
    <w:rsid w:val="00ED75C9"/>
    <w:rsid w:val="00EE0926"/>
    <w:rsid w:val="00EE0BAE"/>
    <w:rsid w:val="00EE0BC6"/>
    <w:rsid w:val="00EE2CC9"/>
    <w:rsid w:val="00EE3028"/>
    <w:rsid w:val="00EE3679"/>
    <w:rsid w:val="00EE4073"/>
    <w:rsid w:val="00EE4401"/>
    <w:rsid w:val="00EE4478"/>
    <w:rsid w:val="00EE49C8"/>
    <w:rsid w:val="00EE4C9F"/>
    <w:rsid w:val="00EE51EB"/>
    <w:rsid w:val="00EE570B"/>
    <w:rsid w:val="00EE5B3F"/>
    <w:rsid w:val="00EE5E1F"/>
    <w:rsid w:val="00EE61A1"/>
    <w:rsid w:val="00EE6621"/>
    <w:rsid w:val="00EE69D9"/>
    <w:rsid w:val="00EE75E2"/>
    <w:rsid w:val="00EE78B1"/>
    <w:rsid w:val="00EE7C4A"/>
    <w:rsid w:val="00EF013F"/>
    <w:rsid w:val="00EF0E57"/>
    <w:rsid w:val="00EF1532"/>
    <w:rsid w:val="00EF1695"/>
    <w:rsid w:val="00EF18B9"/>
    <w:rsid w:val="00EF33E5"/>
    <w:rsid w:val="00EF3F22"/>
    <w:rsid w:val="00EF4198"/>
    <w:rsid w:val="00EF52D9"/>
    <w:rsid w:val="00EF54EF"/>
    <w:rsid w:val="00EF57D3"/>
    <w:rsid w:val="00EF5DD9"/>
    <w:rsid w:val="00EF5F3D"/>
    <w:rsid w:val="00EF6C87"/>
    <w:rsid w:val="00EF6F6E"/>
    <w:rsid w:val="00EF722B"/>
    <w:rsid w:val="00EF74C3"/>
    <w:rsid w:val="00F003A1"/>
    <w:rsid w:val="00F003E1"/>
    <w:rsid w:val="00F005FD"/>
    <w:rsid w:val="00F0096E"/>
    <w:rsid w:val="00F01483"/>
    <w:rsid w:val="00F0178D"/>
    <w:rsid w:val="00F01A38"/>
    <w:rsid w:val="00F02ADC"/>
    <w:rsid w:val="00F02E1E"/>
    <w:rsid w:val="00F03249"/>
    <w:rsid w:val="00F0345E"/>
    <w:rsid w:val="00F04323"/>
    <w:rsid w:val="00F04ABE"/>
    <w:rsid w:val="00F06618"/>
    <w:rsid w:val="00F06B58"/>
    <w:rsid w:val="00F06C4E"/>
    <w:rsid w:val="00F06FB7"/>
    <w:rsid w:val="00F0791C"/>
    <w:rsid w:val="00F079F4"/>
    <w:rsid w:val="00F07AB6"/>
    <w:rsid w:val="00F101F9"/>
    <w:rsid w:val="00F10225"/>
    <w:rsid w:val="00F10DA6"/>
    <w:rsid w:val="00F11227"/>
    <w:rsid w:val="00F112FA"/>
    <w:rsid w:val="00F11305"/>
    <w:rsid w:val="00F1148C"/>
    <w:rsid w:val="00F120F6"/>
    <w:rsid w:val="00F124F7"/>
    <w:rsid w:val="00F12B23"/>
    <w:rsid w:val="00F13486"/>
    <w:rsid w:val="00F14B32"/>
    <w:rsid w:val="00F16409"/>
    <w:rsid w:val="00F16F54"/>
    <w:rsid w:val="00F17207"/>
    <w:rsid w:val="00F202E7"/>
    <w:rsid w:val="00F22AF2"/>
    <w:rsid w:val="00F23F37"/>
    <w:rsid w:val="00F241A2"/>
    <w:rsid w:val="00F243BC"/>
    <w:rsid w:val="00F2594C"/>
    <w:rsid w:val="00F25D45"/>
    <w:rsid w:val="00F25D4E"/>
    <w:rsid w:val="00F25E9D"/>
    <w:rsid w:val="00F25F2D"/>
    <w:rsid w:val="00F264CD"/>
    <w:rsid w:val="00F26DBE"/>
    <w:rsid w:val="00F276C1"/>
    <w:rsid w:val="00F27938"/>
    <w:rsid w:val="00F27CD9"/>
    <w:rsid w:val="00F27DDE"/>
    <w:rsid w:val="00F319BF"/>
    <w:rsid w:val="00F3219D"/>
    <w:rsid w:val="00F322A0"/>
    <w:rsid w:val="00F323BE"/>
    <w:rsid w:val="00F33102"/>
    <w:rsid w:val="00F35125"/>
    <w:rsid w:val="00F3570C"/>
    <w:rsid w:val="00F359DD"/>
    <w:rsid w:val="00F35A8A"/>
    <w:rsid w:val="00F366E3"/>
    <w:rsid w:val="00F36830"/>
    <w:rsid w:val="00F370F7"/>
    <w:rsid w:val="00F37433"/>
    <w:rsid w:val="00F37712"/>
    <w:rsid w:val="00F3773A"/>
    <w:rsid w:val="00F37892"/>
    <w:rsid w:val="00F4076D"/>
    <w:rsid w:val="00F40AB7"/>
    <w:rsid w:val="00F4142D"/>
    <w:rsid w:val="00F41BEA"/>
    <w:rsid w:val="00F42110"/>
    <w:rsid w:val="00F42183"/>
    <w:rsid w:val="00F42675"/>
    <w:rsid w:val="00F427B7"/>
    <w:rsid w:val="00F4315A"/>
    <w:rsid w:val="00F43690"/>
    <w:rsid w:val="00F4378A"/>
    <w:rsid w:val="00F43BCE"/>
    <w:rsid w:val="00F45301"/>
    <w:rsid w:val="00F4556D"/>
    <w:rsid w:val="00F455BF"/>
    <w:rsid w:val="00F45A40"/>
    <w:rsid w:val="00F45F6E"/>
    <w:rsid w:val="00F46DF2"/>
    <w:rsid w:val="00F470C1"/>
    <w:rsid w:val="00F47660"/>
    <w:rsid w:val="00F47731"/>
    <w:rsid w:val="00F501AA"/>
    <w:rsid w:val="00F50767"/>
    <w:rsid w:val="00F50C3D"/>
    <w:rsid w:val="00F512C9"/>
    <w:rsid w:val="00F5141C"/>
    <w:rsid w:val="00F51454"/>
    <w:rsid w:val="00F51C43"/>
    <w:rsid w:val="00F5235B"/>
    <w:rsid w:val="00F525A9"/>
    <w:rsid w:val="00F536D8"/>
    <w:rsid w:val="00F54A08"/>
    <w:rsid w:val="00F54DB3"/>
    <w:rsid w:val="00F55F8E"/>
    <w:rsid w:val="00F567EB"/>
    <w:rsid w:val="00F56ACC"/>
    <w:rsid w:val="00F56B8D"/>
    <w:rsid w:val="00F57166"/>
    <w:rsid w:val="00F57A68"/>
    <w:rsid w:val="00F61959"/>
    <w:rsid w:val="00F61CF8"/>
    <w:rsid w:val="00F62751"/>
    <w:rsid w:val="00F63162"/>
    <w:rsid w:val="00F644BE"/>
    <w:rsid w:val="00F64E4D"/>
    <w:rsid w:val="00F658EE"/>
    <w:rsid w:val="00F66071"/>
    <w:rsid w:val="00F667C6"/>
    <w:rsid w:val="00F668C0"/>
    <w:rsid w:val="00F6705C"/>
    <w:rsid w:val="00F67619"/>
    <w:rsid w:val="00F6795C"/>
    <w:rsid w:val="00F67A95"/>
    <w:rsid w:val="00F67F0C"/>
    <w:rsid w:val="00F703C4"/>
    <w:rsid w:val="00F70479"/>
    <w:rsid w:val="00F709F2"/>
    <w:rsid w:val="00F70B0A"/>
    <w:rsid w:val="00F710BF"/>
    <w:rsid w:val="00F710E8"/>
    <w:rsid w:val="00F71BB6"/>
    <w:rsid w:val="00F7319B"/>
    <w:rsid w:val="00F733FA"/>
    <w:rsid w:val="00F7425C"/>
    <w:rsid w:val="00F7433B"/>
    <w:rsid w:val="00F7435C"/>
    <w:rsid w:val="00F7467B"/>
    <w:rsid w:val="00F74E27"/>
    <w:rsid w:val="00F7506B"/>
    <w:rsid w:val="00F7507D"/>
    <w:rsid w:val="00F759D6"/>
    <w:rsid w:val="00F761E8"/>
    <w:rsid w:val="00F7626C"/>
    <w:rsid w:val="00F8071C"/>
    <w:rsid w:val="00F80A76"/>
    <w:rsid w:val="00F80CC8"/>
    <w:rsid w:val="00F8195C"/>
    <w:rsid w:val="00F82958"/>
    <w:rsid w:val="00F82D20"/>
    <w:rsid w:val="00F8444F"/>
    <w:rsid w:val="00F84BC2"/>
    <w:rsid w:val="00F8590E"/>
    <w:rsid w:val="00F8627D"/>
    <w:rsid w:val="00F86BA8"/>
    <w:rsid w:val="00F87AA4"/>
    <w:rsid w:val="00F87DD8"/>
    <w:rsid w:val="00F87F5C"/>
    <w:rsid w:val="00F90613"/>
    <w:rsid w:val="00F909CF"/>
    <w:rsid w:val="00F92055"/>
    <w:rsid w:val="00F9376B"/>
    <w:rsid w:val="00F9381D"/>
    <w:rsid w:val="00F938E7"/>
    <w:rsid w:val="00F94264"/>
    <w:rsid w:val="00F94597"/>
    <w:rsid w:val="00F95100"/>
    <w:rsid w:val="00F960BC"/>
    <w:rsid w:val="00F96471"/>
    <w:rsid w:val="00F97505"/>
    <w:rsid w:val="00FA0435"/>
    <w:rsid w:val="00FA0A4E"/>
    <w:rsid w:val="00FA14C8"/>
    <w:rsid w:val="00FA1A3B"/>
    <w:rsid w:val="00FA1AC3"/>
    <w:rsid w:val="00FA308A"/>
    <w:rsid w:val="00FA335E"/>
    <w:rsid w:val="00FA4402"/>
    <w:rsid w:val="00FA543B"/>
    <w:rsid w:val="00FA5E85"/>
    <w:rsid w:val="00FA6078"/>
    <w:rsid w:val="00FA639D"/>
    <w:rsid w:val="00FA6C9B"/>
    <w:rsid w:val="00FA6CD9"/>
    <w:rsid w:val="00FA7F21"/>
    <w:rsid w:val="00FB026A"/>
    <w:rsid w:val="00FB171D"/>
    <w:rsid w:val="00FB1761"/>
    <w:rsid w:val="00FB1BD2"/>
    <w:rsid w:val="00FB2003"/>
    <w:rsid w:val="00FB213D"/>
    <w:rsid w:val="00FB31F2"/>
    <w:rsid w:val="00FB410D"/>
    <w:rsid w:val="00FB4434"/>
    <w:rsid w:val="00FB4BC8"/>
    <w:rsid w:val="00FB51AA"/>
    <w:rsid w:val="00FB57BB"/>
    <w:rsid w:val="00FB5E74"/>
    <w:rsid w:val="00FB73DA"/>
    <w:rsid w:val="00FC0697"/>
    <w:rsid w:val="00FC1097"/>
    <w:rsid w:val="00FC3688"/>
    <w:rsid w:val="00FC3A3A"/>
    <w:rsid w:val="00FC3D12"/>
    <w:rsid w:val="00FC4CFD"/>
    <w:rsid w:val="00FC5AC7"/>
    <w:rsid w:val="00FC5E0E"/>
    <w:rsid w:val="00FC629A"/>
    <w:rsid w:val="00FC6893"/>
    <w:rsid w:val="00FC6EBF"/>
    <w:rsid w:val="00FC70A9"/>
    <w:rsid w:val="00FC7BF9"/>
    <w:rsid w:val="00FC7E19"/>
    <w:rsid w:val="00FD04E5"/>
    <w:rsid w:val="00FD06FC"/>
    <w:rsid w:val="00FD0DEF"/>
    <w:rsid w:val="00FD1034"/>
    <w:rsid w:val="00FD1B38"/>
    <w:rsid w:val="00FD1CA3"/>
    <w:rsid w:val="00FD237F"/>
    <w:rsid w:val="00FD269E"/>
    <w:rsid w:val="00FD358A"/>
    <w:rsid w:val="00FD3605"/>
    <w:rsid w:val="00FD3FDB"/>
    <w:rsid w:val="00FD4525"/>
    <w:rsid w:val="00FD50D6"/>
    <w:rsid w:val="00FD66BE"/>
    <w:rsid w:val="00FD6D30"/>
    <w:rsid w:val="00FD73A0"/>
    <w:rsid w:val="00FD7BFF"/>
    <w:rsid w:val="00FD7FFD"/>
    <w:rsid w:val="00FE08B2"/>
    <w:rsid w:val="00FE0D5C"/>
    <w:rsid w:val="00FE10BD"/>
    <w:rsid w:val="00FE1301"/>
    <w:rsid w:val="00FE2C6E"/>
    <w:rsid w:val="00FE31D4"/>
    <w:rsid w:val="00FE3ABD"/>
    <w:rsid w:val="00FE46EF"/>
    <w:rsid w:val="00FE4826"/>
    <w:rsid w:val="00FE6F5A"/>
    <w:rsid w:val="00FE73A6"/>
    <w:rsid w:val="00FE765F"/>
    <w:rsid w:val="00FF00B3"/>
    <w:rsid w:val="00FF0931"/>
    <w:rsid w:val="00FF0F8F"/>
    <w:rsid w:val="00FF14AD"/>
    <w:rsid w:val="00FF2554"/>
    <w:rsid w:val="00FF2970"/>
    <w:rsid w:val="00FF2C73"/>
    <w:rsid w:val="00FF3246"/>
    <w:rsid w:val="00FF4179"/>
    <w:rsid w:val="00FF443F"/>
    <w:rsid w:val="00FF466A"/>
    <w:rsid w:val="00FF4C91"/>
    <w:rsid w:val="00FF596B"/>
    <w:rsid w:val="00FF5F15"/>
    <w:rsid w:val="00FF6586"/>
    <w:rsid w:val="00FF6666"/>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3"/>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character" w:styleId="FollowedHyperlink">
    <w:name w:val="FollowedHyperlink"/>
    <w:basedOn w:val="DefaultParagraphFont"/>
    <w:uiPriority w:val="99"/>
    <w:semiHidden/>
    <w:unhideWhenUsed/>
    <w:rsid w:val="00201B9F"/>
    <w:rPr>
      <w:color w:val="954F72" w:themeColor="followedHyperlink"/>
      <w:u w:val="single"/>
    </w:rPr>
  </w:style>
  <w:style w:type="paragraph" w:customStyle="1" w:styleId="CharChar2CharCharCharCharCharCharCharCharCharCharCharCharCharCharCharCharCharCharCharCharCharCharCharCharCharCharCharChar0">
    <w:name w:val="Char Char2 Char Char Char Char Char Char Char Char Char Char Char Char Char Char Char Char Char Char Char Char Char Char Char Char Char Char Char Char"/>
    <w:basedOn w:val="Normal"/>
    <w:rsid w:val="007E22FB"/>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23"/>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character" w:styleId="FollowedHyperlink">
    <w:name w:val="FollowedHyperlink"/>
    <w:basedOn w:val="DefaultParagraphFont"/>
    <w:uiPriority w:val="99"/>
    <w:semiHidden/>
    <w:unhideWhenUsed/>
    <w:rsid w:val="00201B9F"/>
    <w:rPr>
      <w:color w:val="954F72" w:themeColor="followedHyperlink"/>
      <w:u w:val="single"/>
    </w:rPr>
  </w:style>
  <w:style w:type="paragraph" w:customStyle="1" w:styleId="CharChar2CharCharCharCharCharCharCharCharCharCharCharCharCharCharCharCharCharCharCharCharCharCharCharCharCharCharCharChar0">
    <w:name w:val="Char Char2 Char Char Char Char Char Char Char Char Char Char Char Char Char Char Char Char Char Char Char Char Char Char Char Char Char Char Char Char"/>
    <w:basedOn w:val="Normal"/>
    <w:rsid w:val="007E22FB"/>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competitiveness.bg/module3.php?menu_id=3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competitiveness.bg/images/filerepository/Operativno%20rukovodstvo%20OPIC.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ompetition/elojade/isef/index.cfm?clear=1&amp;policy_area_id=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ufunds.bg" TargetMode="External"/><Relationship Id="rId4" Type="http://schemas.microsoft.com/office/2007/relationships/stylesWithEffects" Target="stylesWithEffects.xml"/><Relationship Id="rId9" Type="http://schemas.openxmlformats.org/officeDocument/2006/relationships/hyperlink" Target="http://www.mi.government.bg/bg/themes/inovacionna-strategiya-za-inteligentna-specializaciya-na-republika-balgariya-2014-2020-g-i-proces-na-i-1470-0.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CDA89-4F35-49D3-9639-ED505509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26434</Words>
  <Characters>150680</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2015-10-28T09:39:00Z</dcterms:created>
  <dcterms:modified xsi:type="dcterms:W3CDTF">2015-11-02T09:22:00Z</dcterms:modified>
</cp:coreProperties>
</file>